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509840535" w:displacedByCustomXml="next"/>
    <w:bookmarkStart w:id="1" w:name="_Toc509841903" w:displacedByCustomXml="next"/>
    <w:bookmarkStart w:id="2" w:name="_Toc509841945" w:displacedByCustomXml="next"/>
    <w:bookmarkStart w:id="3" w:name="_Toc510533368" w:displacedByCustomXml="next"/>
    <w:sdt>
      <w:sdtPr>
        <w:rPr>
          <w:rFonts w:eastAsiaTheme="minorHAnsi"/>
          <w:sz w:val="10"/>
        </w:rPr>
        <w:id w:val="-721134924"/>
        <w:docPartObj>
          <w:docPartGallery w:val="Cover Pages"/>
          <w:docPartUnique/>
        </w:docPartObj>
      </w:sdtPr>
      <w:sdtEndPr>
        <w:rPr>
          <w:noProof/>
          <w:sz w:val="22"/>
        </w:rPr>
      </w:sdtEndPr>
      <w:sdtContent>
        <w:bookmarkStart w:id="4" w:name="_GoBack" w:displacedByCustomXml="prev"/>
        <w:bookmarkEnd w:id="4" w:displacedByCustomXml="prev"/>
        <w:p w14:paraId="3215B83E" w14:textId="69935C6A" w:rsidR="00933470" w:rsidRDefault="00933470" w:rsidP="003921B8">
          <w:pPr>
            <w:pStyle w:val="CoverNormal"/>
            <w:spacing w:after="40"/>
          </w:pPr>
          <w:r w:rsidRPr="004E693F">
            <w:rPr>
              <w:rFonts w:eastAsiaTheme="minorHAnsi"/>
              <w:sz w:val="10"/>
            </w:rPr>
            <w:t xml:space="preserve"> </w:t>
          </w:r>
          <w:sdt>
            <w:sdtPr>
              <w:alias w:val="OECD logo"/>
              <w:tag w:val="imgOECDLogo"/>
              <w:id w:val="-381322432"/>
              <w:picture/>
            </w:sdtPr>
            <w:sdtEndPr/>
            <w:sdtContent>
              <w:r w:rsidR="00A404A5">
                <w:rPr>
                  <w:noProof/>
                  <w:lang w:eastAsia="en-GB"/>
                </w:rPr>
                <w:drawing>
                  <wp:inline distT="0" distB="0" distL="0" distR="0" wp14:anchorId="554D3A54" wp14:editId="15F7F6EB">
                    <wp:extent cx="600457" cy="1048514"/>
                    <wp:effectExtent l="0" t="0" r="9525" b="0"/>
                    <wp:docPr id="5" name="Picture 5"/>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00457" cy="1048514"/>
                            </a:xfrm>
                            <a:prstGeom prst="rect">
                              <a:avLst/>
                            </a:prstGeom>
                          </pic:spPr>
                        </pic:pic>
                      </a:graphicData>
                    </a:graphic>
                  </wp:inline>
                </w:drawing>
              </w:r>
            </w:sdtContent>
          </w:sdt>
        </w:p>
        <w:p w14:paraId="064A01FC" w14:textId="17286EDC" w:rsidR="00933470" w:rsidRDefault="00AA0A82" w:rsidP="003921B8">
          <w:pPr>
            <w:pStyle w:val="CoverNormal"/>
            <w:rPr>
              <w:rStyle w:val="CoverNormalChar"/>
            </w:rPr>
          </w:pPr>
          <w:sdt>
            <w:sdtPr>
              <w:rPr>
                <w:sz w:val="18"/>
              </w:rPr>
              <w:alias w:val="Organisation Title"/>
              <w:tag w:val="txtOrganisationTitle"/>
              <w:id w:val="-1894195693"/>
              <w:text w:multiLine="1"/>
            </w:sdtPr>
            <w:sdtEndPr/>
            <w:sdtContent>
              <w:r w:rsidR="00A404A5" w:rsidRPr="00A404A5">
                <w:rPr>
                  <w:sz w:val="18"/>
                </w:rPr>
                <w:t>Financial Action Task Force</w:t>
              </w:r>
            </w:sdtContent>
          </w:sdt>
        </w:p>
        <w:p w14:paraId="704EBCC3" w14:textId="77777777" w:rsidR="00A25727" w:rsidRDefault="00A25727" w:rsidP="00A25727">
          <w:pPr>
            <w:rPr>
              <w:bCs/>
              <w:i/>
              <w:caps/>
              <w:color w:val="4E81BD"/>
              <w:sz w:val="32"/>
              <w:szCs w:val="32"/>
            </w:rPr>
          </w:pPr>
        </w:p>
        <w:p w14:paraId="6B11DD69" w14:textId="77777777" w:rsidR="00A25727" w:rsidRPr="006928B3" w:rsidRDefault="00A25727" w:rsidP="00A25727">
          <w:pPr>
            <w:jc w:val="center"/>
            <w:rPr>
              <w:rFonts w:asciiTheme="minorHAnsi" w:hAnsiTheme="minorHAnsi"/>
              <w:b/>
              <w:color w:val="4E9EB2"/>
              <w:sz w:val="36"/>
              <w:szCs w:val="36"/>
            </w:rPr>
          </w:pPr>
          <w:r w:rsidRPr="006928B3">
            <w:rPr>
              <w:rFonts w:asciiTheme="minorHAnsi" w:hAnsiTheme="minorHAnsi"/>
              <w:b/>
              <w:color w:val="4E9EB2"/>
              <w:sz w:val="36"/>
              <w:szCs w:val="36"/>
            </w:rPr>
            <w:t xml:space="preserve">Public Consultation on the </w:t>
          </w:r>
        </w:p>
        <w:p w14:paraId="2B830D8A" w14:textId="101A6163" w:rsidR="00233AFD" w:rsidRPr="00A25727" w:rsidRDefault="00A25727" w:rsidP="00A25727">
          <w:pPr>
            <w:jc w:val="center"/>
            <w:rPr>
              <w:rFonts w:asciiTheme="minorHAnsi" w:hAnsiTheme="minorHAnsi"/>
              <w:b/>
              <w:color w:val="4E9EB2"/>
              <w:sz w:val="36"/>
              <w:szCs w:val="36"/>
            </w:rPr>
          </w:pPr>
          <w:r w:rsidRPr="006928B3">
            <w:rPr>
              <w:rFonts w:asciiTheme="minorHAnsi" w:hAnsiTheme="minorHAnsi"/>
              <w:b/>
              <w:color w:val="4E9EB2"/>
              <w:sz w:val="36"/>
              <w:szCs w:val="36"/>
            </w:rPr>
            <w:t xml:space="preserve">Draft Risk-Based Approach Guidance for </w:t>
          </w:r>
          <w:r>
            <w:rPr>
              <w:rFonts w:asciiTheme="minorHAnsi" w:hAnsiTheme="minorHAnsi"/>
              <w:b/>
              <w:color w:val="4E9EB2"/>
              <w:sz w:val="36"/>
              <w:szCs w:val="36"/>
            </w:rPr>
            <w:t>T</w:t>
          </w:r>
          <w:r w:rsidR="005F7BB6" w:rsidRPr="00A25727">
            <w:rPr>
              <w:rFonts w:asciiTheme="minorHAnsi" w:hAnsiTheme="minorHAnsi"/>
              <w:b/>
              <w:color w:val="4E9EB2"/>
              <w:sz w:val="36"/>
              <w:szCs w:val="36"/>
            </w:rPr>
            <w:t xml:space="preserve">rust and </w:t>
          </w:r>
          <w:r>
            <w:rPr>
              <w:rFonts w:asciiTheme="minorHAnsi" w:hAnsiTheme="minorHAnsi"/>
              <w:b/>
              <w:color w:val="4E9EB2"/>
              <w:sz w:val="36"/>
              <w:szCs w:val="36"/>
            </w:rPr>
            <w:t>C</w:t>
          </w:r>
          <w:r w:rsidR="005F7BB6" w:rsidRPr="00A25727">
            <w:rPr>
              <w:rFonts w:asciiTheme="minorHAnsi" w:hAnsiTheme="minorHAnsi"/>
              <w:b/>
              <w:color w:val="4E9EB2"/>
              <w:sz w:val="36"/>
              <w:szCs w:val="36"/>
            </w:rPr>
            <w:t xml:space="preserve">ompany </w:t>
          </w:r>
          <w:r>
            <w:rPr>
              <w:rFonts w:asciiTheme="minorHAnsi" w:hAnsiTheme="minorHAnsi"/>
              <w:b/>
              <w:color w:val="4E9EB2"/>
              <w:sz w:val="36"/>
              <w:szCs w:val="36"/>
            </w:rPr>
            <w:t>Service P</w:t>
          </w:r>
          <w:r w:rsidR="005F7BB6" w:rsidRPr="00A25727">
            <w:rPr>
              <w:rFonts w:asciiTheme="minorHAnsi" w:hAnsiTheme="minorHAnsi"/>
              <w:b/>
              <w:color w:val="4E9EB2"/>
              <w:sz w:val="36"/>
              <w:szCs w:val="36"/>
            </w:rPr>
            <w:t xml:space="preserve">roviders </w:t>
          </w:r>
        </w:p>
      </w:sdtContent>
    </w:sdt>
    <w:p w14:paraId="5938C422" w14:textId="56418B1F" w:rsidR="003D7E66" w:rsidRDefault="006443B2" w:rsidP="006A597A">
      <w:pPr>
        <w:pStyle w:val="TOC1"/>
        <w:ind w:left="614"/>
        <w:jc w:val="center"/>
        <w:rPr>
          <w:color w:val="4E81BD"/>
        </w:rPr>
      </w:pPr>
      <w:r w:rsidRPr="00197C11">
        <w:rPr>
          <w:color w:val="4E81BD"/>
        </w:rPr>
        <w:t>TABLE OF CONTENT</w:t>
      </w:r>
    </w:p>
    <w:p w14:paraId="0D05A759" w14:textId="5E59EC40" w:rsidR="00BD165C" w:rsidRDefault="004B0E8B">
      <w:pPr>
        <w:pStyle w:val="TOC1"/>
        <w:rPr>
          <w:rFonts w:asciiTheme="minorHAnsi" w:eastAsiaTheme="minorEastAsia" w:hAnsiTheme="minorHAnsi" w:cstheme="minorBidi"/>
          <w:b w:val="0"/>
          <w:szCs w:val="22"/>
          <w:lang w:eastAsia="en-GB"/>
        </w:rPr>
      </w:pPr>
      <w:r>
        <w:fldChar w:fldCharType="begin"/>
      </w:r>
      <w:r>
        <w:instrText xml:space="preserve"> TOC \o "1-3" \h \z \u </w:instrText>
      </w:r>
      <w:r>
        <w:fldChar w:fldCharType="separate"/>
      </w:r>
      <w:hyperlink w:anchor="_Toc1994904" w:history="1">
        <w:r w:rsidR="00BD165C" w:rsidRPr="005E625F">
          <w:rPr>
            <w:rStyle w:val="Hyperlink"/>
          </w:rPr>
          <w:t>DRAFT RISK-BASED APPROACH GUIDANCE FOR TRUST AND COMPANY SERVICE PROVIDERS (TCSP)</w:t>
        </w:r>
        <w:r w:rsidR="00BD165C">
          <w:rPr>
            <w:webHidden/>
          </w:rPr>
          <w:tab/>
        </w:r>
        <w:r w:rsidR="00BD165C">
          <w:rPr>
            <w:webHidden/>
          </w:rPr>
          <w:fldChar w:fldCharType="begin"/>
        </w:r>
        <w:r w:rsidR="00BD165C">
          <w:rPr>
            <w:webHidden/>
          </w:rPr>
          <w:instrText xml:space="preserve"> PAGEREF _Toc1994904 \h </w:instrText>
        </w:r>
        <w:r w:rsidR="00BD165C">
          <w:rPr>
            <w:webHidden/>
          </w:rPr>
        </w:r>
        <w:r w:rsidR="00BD165C">
          <w:rPr>
            <w:webHidden/>
          </w:rPr>
          <w:fldChar w:fldCharType="separate"/>
        </w:r>
        <w:r w:rsidR="00BD165C">
          <w:rPr>
            <w:webHidden/>
          </w:rPr>
          <w:t>3</w:t>
        </w:r>
        <w:r w:rsidR="00BD165C">
          <w:rPr>
            <w:webHidden/>
          </w:rPr>
          <w:fldChar w:fldCharType="end"/>
        </w:r>
      </w:hyperlink>
    </w:p>
    <w:p w14:paraId="2CF1BF00" w14:textId="63B9851A" w:rsidR="00BD165C" w:rsidRDefault="00AA0A82">
      <w:pPr>
        <w:pStyle w:val="TOC2"/>
        <w:rPr>
          <w:rFonts w:asciiTheme="minorHAnsi" w:eastAsiaTheme="minorEastAsia" w:hAnsiTheme="minorHAnsi" w:cstheme="minorBidi"/>
          <w:szCs w:val="22"/>
          <w:lang w:eastAsia="en-GB"/>
        </w:rPr>
      </w:pPr>
      <w:hyperlink w:anchor="_Toc1994905" w:history="1">
        <w:r w:rsidR="00BD165C" w:rsidRPr="005E625F">
          <w:rPr>
            <w:rStyle w:val="Hyperlink"/>
          </w:rPr>
          <w:t>Table of acronyms</w:t>
        </w:r>
        <w:r w:rsidR="00BD165C">
          <w:rPr>
            <w:webHidden/>
          </w:rPr>
          <w:tab/>
        </w:r>
        <w:r w:rsidR="00BD165C">
          <w:rPr>
            <w:webHidden/>
          </w:rPr>
          <w:fldChar w:fldCharType="begin"/>
        </w:r>
        <w:r w:rsidR="00BD165C">
          <w:rPr>
            <w:webHidden/>
          </w:rPr>
          <w:instrText xml:space="preserve"> PAGEREF _Toc1994905 \h </w:instrText>
        </w:r>
        <w:r w:rsidR="00BD165C">
          <w:rPr>
            <w:webHidden/>
          </w:rPr>
        </w:r>
        <w:r w:rsidR="00BD165C">
          <w:rPr>
            <w:webHidden/>
          </w:rPr>
          <w:fldChar w:fldCharType="separate"/>
        </w:r>
        <w:r w:rsidR="00BD165C">
          <w:rPr>
            <w:webHidden/>
          </w:rPr>
          <w:t>3</w:t>
        </w:r>
        <w:r w:rsidR="00BD165C">
          <w:rPr>
            <w:webHidden/>
          </w:rPr>
          <w:fldChar w:fldCharType="end"/>
        </w:r>
      </w:hyperlink>
    </w:p>
    <w:p w14:paraId="51392948" w14:textId="07336903" w:rsidR="00BD165C" w:rsidRDefault="00AA0A82">
      <w:pPr>
        <w:pStyle w:val="TOC1"/>
        <w:rPr>
          <w:rFonts w:asciiTheme="minorHAnsi" w:eastAsiaTheme="minorEastAsia" w:hAnsiTheme="minorHAnsi" w:cstheme="minorBidi"/>
          <w:b w:val="0"/>
          <w:szCs w:val="22"/>
          <w:lang w:eastAsia="en-GB"/>
        </w:rPr>
      </w:pPr>
      <w:hyperlink w:anchor="_Toc1994906" w:history="1">
        <w:r w:rsidR="00BD165C" w:rsidRPr="005E625F">
          <w:rPr>
            <w:rStyle w:val="Hyperlink"/>
          </w:rPr>
          <w:t>1. Section I- Introduction and Key Concepts</w:t>
        </w:r>
        <w:r w:rsidR="00BD165C">
          <w:rPr>
            <w:webHidden/>
          </w:rPr>
          <w:tab/>
        </w:r>
        <w:r w:rsidR="00BD165C">
          <w:rPr>
            <w:webHidden/>
          </w:rPr>
          <w:fldChar w:fldCharType="begin"/>
        </w:r>
        <w:r w:rsidR="00BD165C">
          <w:rPr>
            <w:webHidden/>
          </w:rPr>
          <w:instrText xml:space="preserve"> PAGEREF _Toc1994906 \h </w:instrText>
        </w:r>
        <w:r w:rsidR="00BD165C">
          <w:rPr>
            <w:webHidden/>
          </w:rPr>
        </w:r>
        <w:r w:rsidR="00BD165C">
          <w:rPr>
            <w:webHidden/>
          </w:rPr>
          <w:fldChar w:fldCharType="separate"/>
        </w:r>
        <w:r w:rsidR="00BD165C">
          <w:rPr>
            <w:webHidden/>
          </w:rPr>
          <w:t>4</w:t>
        </w:r>
        <w:r w:rsidR="00BD165C">
          <w:rPr>
            <w:webHidden/>
          </w:rPr>
          <w:fldChar w:fldCharType="end"/>
        </w:r>
      </w:hyperlink>
    </w:p>
    <w:p w14:paraId="18F19789" w14:textId="1C6E5356" w:rsidR="00BD165C" w:rsidRDefault="00AA0A82">
      <w:pPr>
        <w:pStyle w:val="TOC2"/>
        <w:rPr>
          <w:rFonts w:asciiTheme="minorHAnsi" w:eastAsiaTheme="minorEastAsia" w:hAnsiTheme="minorHAnsi" w:cstheme="minorBidi"/>
          <w:szCs w:val="22"/>
          <w:lang w:eastAsia="en-GB"/>
        </w:rPr>
      </w:pPr>
      <w:hyperlink w:anchor="_Toc1994907" w:history="1">
        <w:r w:rsidR="00BD165C" w:rsidRPr="005E625F">
          <w:rPr>
            <w:rStyle w:val="Hyperlink"/>
          </w:rPr>
          <w:t>1.1. Background and context</w:t>
        </w:r>
        <w:r w:rsidR="00BD165C">
          <w:rPr>
            <w:webHidden/>
          </w:rPr>
          <w:tab/>
        </w:r>
        <w:r w:rsidR="00BD165C">
          <w:rPr>
            <w:webHidden/>
          </w:rPr>
          <w:fldChar w:fldCharType="begin"/>
        </w:r>
        <w:r w:rsidR="00BD165C">
          <w:rPr>
            <w:webHidden/>
          </w:rPr>
          <w:instrText xml:space="preserve"> PAGEREF _Toc1994907 \h </w:instrText>
        </w:r>
        <w:r w:rsidR="00BD165C">
          <w:rPr>
            <w:webHidden/>
          </w:rPr>
        </w:r>
        <w:r w:rsidR="00BD165C">
          <w:rPr>
            <w:webHidden/>
          </w:rPr>
          <w:fldChar w:fldCharType="separate"/>
        </w:r>
        <w:r w:rsidR="00BD165C">
          <w:rPr>
            <w:webHidden/>
          </w:rPr>
          <w:t>4</w:t>
        </w:r>
        <w:r w:rsidR="00BD165C">
          <w:rPr>
            <w:webHidden/>
          </w:rPr>
          <w:fldChar w:fldCharType="end"/>
        </w:r>
      </w:hyperlink>
    </w:p>
    <w:p w14:paraId="074F1739" w14:textId="2C3788B4" w:rsidR="00BD165C" w:rsidRDefault="00AA0A82">
      <w:pPr>
        <w:pStyle w:val="TOC2"/>
        <w:rPr>
          <w:rFonts w:asciiTheme="minorHAnsi" w:eastAsiaTheme="minorEastAsia" w:hAnsiTheme="minorHAnsi" w:cstheme="minorBidi"/>
          <w:szCs w:val="22"/>
          <w:lang w:eastAsia="en-GB"/>
        </w:rPr>
      </w:pPr>
      <w:hyperlink w:anchor="_Toc1994908" w:history="1">
        <w:r w:rsidR="00BD165C" w:rsidRPr="005E625F">
          <w:rPr>
            <w:rStyle w:val="Hyperlink"/>
          </w:rPr>
          <w:t>1.2. Purpose of the Guidance</w:t>
        </w:r>
        <w:r w:rsidR="00BD165C">
          <w:rPr>
            <w:webHidden/>
          </w:rPr>
          <w:tab/>
        </w:r>
        <w:r w:rsidR="00BD165C">
          <w:rPr>
            <w:webHidden/>
          </w:rPr>
          <w:fldChar w:fldCharType="begin"/>
        </w:r>
        <w:r w:rsidR="00BD165C">
          <w:rPr>
            <w:webHidden/>
          </w:rPr>
          <w:instrText xml:space="preserve"> PAGEREF _Toc1994908 \h </w:instrText>
        </w:r>
        <w:r w:rsidR="00BD165C">
          <w:rPr>
            <w:webHidden/>
          </w:rPr>
        </w:r>
        <w:r w:rsidR="00BD165C">
          <w:rPr>
            <w:webHidden/>
          </w:rPr>
          <w:fldChar w:fldCharType="separate"/>
        </w:r>
        <w:r w:rsidR="00BD165C">
          <w:rPr>
            <w:webHidden/>
          </w:rPr>
          <w:t>5</w:t>
        </w:r>
        <w:r w:rsidR="00BD165C">
          <w:rPr>
            <w:webHidden/>
          </w:rPr>
          <w:fldChar w:fldCharType="end"/>
        </w:r>
      </w:hyperlink>
    </w:p>
    <w:p w14:paraId="003A9EE2" w14:textId="18DA6127" w:rsidR="00BD165C" w:rsidRDefault="00AA0A82">
      <w:pPr>
        <w:pStyle w:val="TOC2"/>
        <w:rPr>
          <w:rFonts w:asciiTheme="minorHAnsi" w:eastAsiaTheme="minorEastAsia" w:hAnsiTheme="minorHAnsi" w:cstheme="minorBidi"/>
          <w:szCs w:val="22"/>
          <w:lang w:eastAsia="en-GB"/>
        </w:rPr>
      </w:pPr>
      <w:hyperlink w:anchor="_Toc1994909" w:history="1">
        <w:r w:rsidR="00BD165C" w:rsidRPr="005E625F">
          <w:rPr>
            <w:rStyle w:val="Hyperlink"/>
          </w:rPr>
          <w:t>1.3. Target audience, status and content of the Guidance</w:t>
        </w:r>
        <w:r w:rsidR="00BD165C">
          <w:rPr>
            <w:webHidden/>
          </w:rPr>
          <w:tab/>
        </w:r>
        <w:r w:rsidR="00BD165C">
          <w:rPr>
            <w:webHidden/>
          </w:rPr>
          <w:fldChar w:fldCharType="begin"/>
        </w:r>
        <w:r w:rsidR="00BD165C">
          <w:rPr>
            <w:webHidden/>
          </w:rPr>
          <w:instrText xml:space="preserve"> PAGEREF _Toc1994909 \h </w:instrText>
        </w:r>
        <w:r w:rsidR="00BD165C">
          <w:rPr>
            <w:webHidden/>
          </w:rPr>
        </w:r>
        <w:r w:rsidR="00BD165C">
          <w:rPr>
            <w:webHidden/>
          </w:rPr>
          <w:fldChar w:fldCharType="separate"/>
        </w:r>
        <w:r w:rsidR="00BD165C">
          <w:rPr>
            <w:webHidden/>
          </w:rPr>
          <w:t>5</w:t>
        </w:r>
        <w:r w:rsidR="00BD165C">
          <w:rPr>
            <w:webHidden/>
          </w:rPr>
          <w:fldChar w:fldCharType="end"/>
        </w:r>
      </w:hyperlink>
    </w:p>
    <w:p w14:paraId="63EDE7EA" w14:textId="355037DD" w:rsidR="00BD165C" w:rsidRDefault="00AA0A82">
      <w:pPr>
        <w:pStyle w:val="TOC2"/>
        <w:rPr>
          <w:rFonts w:asciiTheme="minorHAnsi" w:eastAsiaTheme="minorEastAsia" w:hAnsiTheme="minorHAnsi" w:cstheme="minorBidi"/>
          <w:szCs w:val="22"/>
          <w:lang w:eastAsia="en-GB"/>
        </w:rPr>
      </w:pPr>
      <w:hyperlink w:anchor="_Toc1994910" w:history="1">
        <w:r w:rsidR="00BD165C" w:rsidRPr="005E625F">
          <w:rPr>
            <w:rStyle w:val="Hyperlink"/>
          </w:rPr>
          <w:t>1.4. Scope of the Guidance: terminology, key features and business models</w:t>
        </w:r>
        <w:r w:rsidR="00BD165C">
          <w:rPr>
            <w:webHidden/>
          </w:rPr>
          <w:tab/>
        </w:r>
        <w:r w:rsidR="00BD165C">
          <w:rPr>
            <w:webHidden/>
          </w:rPr>
          <w:fldChar w:fldCharType="begin"/>
        </w:r>
        <w:r w:rsidR="00BD165C">
          <w:rPr>
            <w:webHidden/>
          </w:rPr>
          <w:instrText xml:space="preserve"> PAGEREF _Toc1994910 \h </w:instrText>
        </w:r>
        <w:r w:rsidR="00BD165C">
          <w:rPr>
            <w:webHidden/>
          </w:rPr>
        </w:r>
        <w:r w:rsidR="00BD165C">
          <w:rPr>
            <w:webHidden/>
          </w:rPr>
          <w:fldChar w:fldCharType="separate"/>
        </w:r>
        <w:r w:rsidR="00BD165C">
          <w:rPr>
            <w:webHidden/>
          </w:rPr>
          <w:t>6</w:t>
        </w:r>
        <w:r w:rsidR="00BD165C">
          <w:rPr>
            <w:webHidden/>
          </w:rPr>
          <w:fldChar w:fldCharType="end"/>
        </w:r>
      </w:hyperlink>
    </w:p>
    <w:p w14:paraId="38E6F578" w14:textId="63EF79FA" w:rsidR="00BD165C" w:rsidRDefault="00AA0A82">
      <w:pPr>
        <w:pStyle w:val="TOC3"/>
        <w:rPr>
          <w:rFonts w:asciiTheme="minorHAnsi" w:eastAsiaTheme="minorEastAsia" w:hAnsiTheme="minorHAnsi" w:cstheme="minorBidi"/>
          <w:szCs w:val="22"/>
          <w:lang w:eastAsia="en-GB"/>
        </w:rPr>
      </w:pPr>
      <w:hyperlink w:anchor="_Toc1994911" w:history="1">
        <w:r w:rsidR="00BD165C" w:rsidRPr="005E625F">
          <w:rPr>
            <w:rStyle w:val="Hyperlink"/>
          </w:rPr>
          <w:t>1.4.1. Terminology</w:t>
        </w:r>
        <w:r w:rsidR="00BD165C">
          <w:rPr>
            <w:webHidden/>
          </w:rPr>
          <w:tab/>
        </w:r>
        <w:r w:rsidR="00BD165C">
          <w:rPr>
            <w:webHidden/>
          </w:rPr>
          <w:fldChar w:fldCharType="begin"/>
        </w:r>
        <w:r w:rsidR="00BD165C">
          <w:rPr>
            <w:webHidden/>
          </w:rPr>
          <w:instrText xml:space="preserve"> PAGEREF _Toc1994911 \h </w:instrText>
        </w:r>
        <w:r w:rsidR="00BD165C">
          <w:rPr>
            <w:webHidden/>
          </w:rPr>
        </w:r>
        <w:r w:rsidR="00BD165C">
          <w:rPr>
            <w:webHidden/>
          </w:rPr>
          <w:fldChar w:fldCharType="separate"/>
        </w:r>
        <w:r w:rsidR="00BD165C">
          <w:rPr>
            <w:webHidden/>
          </w:rPr>
          <w:t>6</w:t>
        </w:r>
        <w:r w:rsidR="00BD165C">
          <w:rPr>
            <w:webHidden/>
          </w:rPr>
          <w:fldChar w:fldCharType="end"/>
        </w:r>
      </w:hyperlink>
    </w:p>
    <w:p w14:paraId="0F63CF51" w14:textId="0FAD01FB" w:rsidR="00BD165C" w:rsidRDefault="00AA0A82">
      <w:pPr>
        <w:pStyle w:val="TOC3"/>
        <w:rPr>
          <w:rFonts w:asciiTheme="minorHAnsi" w:eastAsiaTheme="minorEastAsia" w:hAnsiTheme="minorHAnsi" w:cstheme="minorBidi"/>
          <w:szCs w:val="22"/>
          <w:lang w:eastAsia="en-GB"/>
        </w:rPr>
      </w:pPr>
      <w:hyperlink w:anchor="_Toc1994912" w:history="1">
        <w:r w:rsidR="00BD165C" w:rsidRPr="005E625F">
          <w:rPr>
            <w:rStyle w:val="Hyperlink"/>
          </w:rPr>
          <w:t>1.4.2. Key features</w:t>
        </w:r>
        <w:r w:rsidR="00BD165C">
          <w:rPr>
            <w:webHidden/>
          </w:rPr>
          <w:tab/>
        </w:r>
        <w:r w:rsidR="00BD165C">
          <w:rPr>
            <w:webHidden/>
          </w:rPr>
          <w:fldChar w:fldCharType="begin"/>
        </w:r>
        <w:r w:rsidR="00BD165C">
          <w:rPr>
            <w:webHidden/>
          </w:rPr>
          <w:instrText xml:space="preserve"> PAGEREF _Toc1994912 \h </w:instrText>
        </w:r>
        <w:r w:rsidR="00BD165C">
          <w:rPr>
            <w:webHidden/>
          </w:rPr>
        </w:r>
        <w:r w:rsidR="00BD165C">
          <w:rPr>
            <w:webHidden/>
          </w:rPr>
          <w:fldChar w:fldCharType="separate"/>
        </w:r>
        <w:r w:rsidR="00BD165C">
          <w:rPr>
            <w:webHidden/>
          </w:rPr>
          <w:t>6</w:t>
        </w:r>
        <w:r w:rsidR="00BD165C">
          <w:rPr>
            <w:webHidden/>
          </w:rPr>
          <w:fldChar w:fldCharType="end"/>
        </w:r>
      </w:hyperlink>
    </w:p>
    <w:p w14:paraId="03151E49" w14:textId="6C2142D4" w:rsidR="00BD165C" w:rsidRDefault="00AA0A82">
      <w:pPr>
        <w:pStyle w:val="TOC3"/>
        <w:rPr>
          <w:rFonts w:asciiTheme="minorHAnsi" w:eastAsiaTheme="minorEastAsia" w:hAnsiTheme="minorHAnsi" w:cstheme="minorBidi"/>
          <w:szCs w:val="22"/>
          <w:lang w:eastAsia="en-GB"/>
        </w:rPr>
      </w:pPr>
      <w:hyperlink w:anchor="_Toc1994913" w:history="1">
        <w:r w:rsidR="00BD165C" w:rsidRPr="005E625F">
          <w:rPr>
            <w:rStyle w:val="Hyperlink"/>
          </w:rPr>
          <w:t>1.4.3. Activities carried out by TCSPs</w:t>
        </w:r>
        <w:r w:rsidR="00BD165C">
          <w:rPr>
            <w:webHidden/>
          </w:rPr>
          <w:tab/>
        </w:r>
        <w:r w:rsidR="00BD165C">
          <w:rPr>
            <w:webHidden/>
          </w:rPr>
          <w:fldChar w:fldCharType="begin"/>
        </w:r>
        <w:r w:rsidR="00BD165C">
          <w:rPr>
            <w:webHidden/>
          </w:rPr>
          <w:instrText xml:space="preserve"> PAGEREF _Toc1994913 \h </w:instrText>
        </w:r>
        <w:r w:rsidR="00BD165C">
          <w:rPr>
            <w:webHidden/>
          </w:rPr>
        </w:r>
        <w:r w:rsidR="00BD165C">
          <w:rPr>
            <w:webHidden/>
          </w:rPr>
          <w:fldChar w:fldCharType="separate"/>
        </w:r>
        <w:r w:rsidR="00BD165C">
          <w:rPr>
            <w:webHidden/>
          </w:rPr>
          <w:t>7</w:t>
        </w:r>
        <w:r w:rsidR="00BD165C">
          <w:rPr>
            <w:webHidden/>
          </w:rPr>
          <w:fldChar w:fldCharType="end"/>
        </w:r>
      </w:hyperlink>
    </w:p>
    <w:p w14:paraId="5C379169" w14:textId="0A094D20" w:rsidR="00BD165C" w:rsidRDefault="00AA0A82">
      <w:pPr>
        <w:pStyle w:val="TOC3"/>
        <w:rPr>
          <w:rFonts w:asciiTheme="minorHAnsi" w:eastAsiaTheme="minorEastAsia" w:hAnsiTheme="minorHAnsi" w:cstheme="minorBidi"/>
          <w:szCs w:val="22"/>
          <w:lang w:eastAsia="en-GB"/>
        </w:rPr>
      </w:pPr>
      <w:hyperlink w:anchor="_Toc1994914" w:history="1">
        <w:r w:rsidR="00BD165C" w:rsidRPr="005E625F">
          <w:rPr>
            <w:rStyle w:val="Hyperlink"/>
          </w:rPr>
          <w:t>1.4.4. Vulnerabilities of TCSP services</w:t>
        </w:r>
        <w:r w:rsidR="00BD165C">
          <w:rPr>
            <w:webHidden/>
          </w:rPr>
          <w:tab/>
        </w:r>
        <w:r w:rsidR="00BD165C">
          <w:rPr>
            <w:webHidden/>
          </w:rPr>
          <w:fldChar w:fldCharType="begin"/>
        </w:r>
        <w:r w:rsidR="00BD165C">
          <w:rPr>
            <w:webHidden/>
          </w:rPr>
          <w:instrText xml:space="preserve"> PAGEREF _Toc1994914 \h </w:instrText>
        </w:r>
        <w:r w:rsidR="00BD165C">
          <w:rPr>
            <w:webHidden/>
          </w:rPr>
        </w:r>
        <w:r w:rsidR="00BD165C">
          <w:rPr>
            <w:webHidden/>
          </w:rPr>
          <w:fldChar w:fldCharType="separate"/>
        </w:r>
        <w:r w:rsidR="00BD165C">
          <w:rPr>
            <w:webHidden/>
          </w:rPr>
          <w:t>7</w:t>
        </w:r>
        <w:r w:rsidR="00BD165C">
          <w:rPr>
            <w:webHidden/>
          </w:rPr>
          <w:fldChar w:fldCharType="end"/>
        </w:r>
      </w:hyperlink>
    </w:p>
    <w:p w14:paraId="5AD26082" w14:textId="512127AB" w:rsidR="00BD165C" w:rsidRDefault="00AA0A82">
      <w:pPr>
        <w:pStyle w:val="TOC2"/>
        <w:rPr>
          <w:rFonts w:asciiTheme="minorHAnsi" w:eastAsiaTheme="minorEastAsia" w:hAnsiTheme="minorHAnsi" w:cstheme="minorBidi"/>
          <w:szCs w:val="22"/>
          <w:lang w:eastAsia="en-GB"/>
        </w:rPr>
      </w:pPr>
      <w:hyperlink w:anchor="_Toc1994915" w:history="1">
        <w:r w:rsidR="00BD165C" w:rsidRPr="005E625F">
          <w:rPr>
            <w:rStyle w:val="Hyperlink"/>
          </w:rPr>
          <w:t>1.5. FATF Recommendations applicable to TCSPs</w:t>
        </w:r>
        <w:r w:rsidR="00BD165C">
          <w:rPr>
            <w:webHidden/>
          </w:rPr>
          <w:tab/>
        </w:r>
        <w:r w:rsidR="00BD165C">
          <w:rPr>
            <w:webHidden/>
          </w:rPr>
          <w:fldChar w:fldCharType="begin"/>
        </w:r>
        <w:r w:rsidR="00BD165C">
          <w:rPr>
            <w:webHidden/>
          </w:rPr>
          <w:instrText xml:space="preserve"> PAGEREF _Toc1994915 \h </w:instrText>
        </w:r>
        <w:r w:rsidR="00BD165C">
          <w:rPr>
            <w:webHidden/>
          </w:rPr>
        </w:r>
        <w:r w:rsidR="00BD165C">
          <w:rPr>
            <w:webHidden/>
          </w:rPr>
          <w:fldChar w:fldCharType="separate"/>
        </w:r>
        <w:r w:rsidR="00BD165C">
          <w:rPr>
            <w:webHidden/>
          </w:rPr>
          <w:t>7</w:t>
        </w:r>
        <w:r w:rsidR="00BD165C">
          <w:rPr>
            <w:webHidden/>
          </w:rPr>
          <w:fldChar w:fldCharType="end"/>
        </w:r>
      </w:hyperlink>
    </w:p>
    <w:p w14:paraId="53CD3344" w14:textId="0CACA1CC" w:rsidR="00BD165C" w:rsidRDefault="00AA0A82">
      <w:pPr>
        <w:pStyle w:val="TOC2"/>
        <w:rPr>
          <w:rFonts w:asciiTheme="minorHAnsi" w:eastAsiaTheme="minorEastAsia" w:hAnsiTheme="minorHAnsi" w:cstheme="minorBidi"/>
          <w:szCs w:val="22"/>
          <w:lang w:eastAsia="en-GB"/>
        </w:rPr>
      </w:pPr>
      <w:hyperlink w:anchor="_Toc1994916" w:history="1">
        <w:r w:rsidR="00BD165C" w:rsidRPr="005E625F">
          <w:rPr>
            <w:rStyle w:val="Hyperlink"/>
          </w:rPr>
          <w:t>1.6. Application of this Guidance</w:t>
        </w:r>
        <w:r w:rsidR="00BD165C">
          <w:rPr>
            <w:webHidden/>
          </w:rPr>
          <w:tab/>
        </w:r>
        <w:r w:rsidR="00BD165C">
          <w:rPr>
            <w:webHidden/>
          </w:rPr>
          <w:fldChar w:fldCharType="begin"/>
        </w:r>
        <w:r w:rsidR="00BD165C">
          <w:rPr>
            <w:webHidden/>
          </w:rPr>
          <w:instrText xml:space="preserve"> PAGEREF _Toc1994916 \h </w:instrText>
        </w:r>
        <w:r w:rsidR="00BD165C">
          <w:rPr>
            <w:webHidden/>
          </w:rPr>
        </w:r>
        <w:r w:rsidR="00BD165C">
          <w:rPr>
            <w:webHidden/>
          </w:rPr>
          <w:fldChar w:fldCharType="separate"/>
        </w:r>
        <w:r w:rsidR="00BD165C">
          <w:rPr>
            <w:webHidden/>
          </w:rPr>
          <w:t>8</w:t>
        </w:r>
        <w:r w:rsidR="00BD165C">
          <w:rPr>
            <w:webHidden/>
          </w:rPr>
          <w:fldChar w:fldCharType="end"/>
        </w:r>
      </w:hyperlink>
    </w:p>
    <w:p w14:paraId="0234A1F5" w14:textId="1F84DAF0" w:rsidR="00BD165C" w:rsidRDefault="00AA0A82">
      <w:pPr>
        <w:pStyle w:val="TOC1"/>
        <w:rPr>
          <w:rFonts w:asciiTheme="minorHAnsi" w:eastAsiaTheme="minorEastAsia" w:hAnsiTheme="minorHAnsi" w:cstheme="minorBidi"/>
          <w:b w:val="0"/>
          <w:szCs w:val="22"/>
          <w:lang w:eastAsia="en-GB"/>
        </w:rPr>
      </w:pPr>
      <w:hyperlink w:anchor="_Toc1994917" w:history="1">
        <w:r w:rsidR="00BD165C" w:rsidRPr="005E625F">
          <w:rPr>
            <w:rStyle w:val="Hyperlink"/>
          </w:rPr>
          <w:t>2. Section II – The RBA to AML/CFT</w:t>
        </w:r>
        <w:r w:rsidR="00BD165C">
          <w:rPr>
            <w:webHidden/>
          </w:rPr>
          <w:tab/>
        </w:r>
        <w:r w:rsidR="00BD165C">
          <w:rPr>
            <w:webHidden/>
          </w:rPr>
          <w:fldChar w:fldCharType="begin"/>
        </w:r>
        <w:r w:rsidR="00BD165C">
          <w:rPr>
            <w:webHidden/>
          </w:rPr>
          <w:instrText xml:space="preserve"> PAGEREF _Toc1994917 \h </w:instrText>
        </w:r>
        <w:r w:rsidR="00BD165C">
          <w:rPr>
            <w:webHidden/>
          </w:rPr>
        </w:r>
        <w:r w:rsidR="00BD165C">
          <w:rPr>
            <w:webHidden/>
          </w:rPr>
          <w:fldChar w:fldCharType="separate"/>
        </w:r>
        <w:r w:rsidR="00BD165C">
          <w:rPr>
            <w:webHidden/>
          </w:rPr>
          <w:t>8</w:t>
        </w:r>
        <w:r w:rsidR="00BD165C">
          <w:rPr>
            <w:webHidden/>
          </w:rPr>
          <w:fldChar w:fldCharType="end"/>
        </w:r>
      </w:hyperlink>
    </w:p>
    <w:p w14:paraId="3835D6D9" w14:textId="17F4EFAF" w:rsidR="00BD165C" w:rsidRDefault="00AA0A82">
      <w:pPr>
        <w:pStyle w:val="TOC2"/>
        <w:rPr>
          <w:rFonts w:asciiTheme="minorHAnsi" w:eastAsiaTheme="minorEastAsia" w:hAnsiTheme="minorHAnsi" w:cstheme="minorBidi"/>
          <w:szCs w:val="22"/>
          <w:lang w:eastAsia="en-GB"/>
        </w:rPr>
      </w:pPr>
      <w:hyperlink w:anchor="_Toc1994918" w:history="1">
        <w:r w:rsidR="00BD165C" w:rsidRPr="005E625F">
          <w:rPr>
            <w:rStyle w:val="Hyperlink"/>
          </w:rPr>
          <w:t>2.1. What is the risk-based approach?</w:t>
        </w:r>
        <w:r w:rsidR="00BD165C">
          <w:rPr>
            <w:webHidden/>
          </w:rPr>
          <w:tab/>
        </w:r>
        <w:r w:rsidR="00BD165C">
          <w:rPr>
            <w:webHidden/>
          </w:rPr>
          <w:fldChar w:fldCharType="begin"/>
        </w:r>
        <w:r w:rsidR="00BD165C">
          <w:rPr>
            <w:webHidden/>
          </w:rPr>
          <w:instrText xml:space="preserve"> PAGEREF _Toc1994918 \h </w:instrText>
        </w:r>
        <w:r w:rsidR="00BD165C">
          <w:rPr>
            <w:webHidden/>
          </w:rPr>
        </w:r>
        <w:r w:rsidR="00BD165C">
          <w:rPr>
            <w:webHidden/>
          </w:rPr>
          <w:fldChar w:fldCharType="separate"/>
        </w:r>
        <w:r w:rsidR="00BD165C">
          <w:rPr>
            <w:webHidden/>
          </w:rPr>
          <w:t>8</w:t>
        </w:r>
        <w:r w:rsidR="00BD165C">
          <w:rPr>
            <w:webHidden/>
          </w:rPr>
          <w:fldChar w:fldCharType="end"/>
        </w:r>
      </w:hyperlink>
    </w:p>
    <w:p w14:paraId="04800812" w14:textId="05F6748D" w:rsidR="00BD165C" w:rsidRDefault="00AA0A82">
      <w:pPr>
        <w:pStyle w:val="TOC2"/>
        <w:rPr>
          <w:rFonts w:asciiTheme="minorHAnsi" w:eastAsiaTheme="minorEastAsia" w:hAnsiTheme="minorHAnsi" w:cstheme="minorBidi"/>
          <w:szCs w:val="22"/>
          <w:lang w:eastAsia="en-GB"/>
        </w:rPr>
      </w:pPr>
      <w:hyperlink w:anchor="_Toc1994919" w:history="1">
        <w:r w:rsidR="00BD165C" w:rsidRPr="005E625F">
          <w:rPr>
            <w:rStyle w:val="Hyperlink"/>
          </w:rPr>
          <w:t>2.2. The rationale for the RBA</w:t>
        </w:r>
        <w:r w:rsidR="00BD165C">
          <w:rPr>
            <w:webHidden/>
          </w:rPr>
          <w:tab/>
        </w:r>
        <w:r w:rsidR="00BD165C">
          <w:rPr>
            <w:webHidden/>
          </w:rPr>
          <w:fldChar w:fldCharType="begin"/>
        </w:r>
        <w:r w:rsidR="00BD165C">
          <w:rPr>
            <w:webHidden/>
          </w:rPr>
          <w:instrText xml:space="preserve"> PAGEREF _Toc1994919 \h </w:instrText>
        </w:r>
        <w:r w:rsidR="00BD165C">
          <w:rPr>
            <w:webHidden/>
          </w:rPr>
        </w:r>
        <w:r w:rsidR="00BD165C">
          <w:rPr>
            <w:webHidden/>
          </w:rPr>
          <w:fldChar w:fldCharType="separate"/>
        </w:r>
        <w:r w:rsidR="00BD165C">
          <w:rPr>
            <w:webHidden/>
          </w:rPr>
          <w:t>9</w:t>
        </w:r>
        <w:r w:rsidR="00BD165C">
          <w:rPr>
            <w:webHidden/>
          </w:rPr>
          <w:fldChar w:fldCharType="end"/>
        </w:r>
      </w:hyperlink>
    </w:p>
    <w:p w14:paraId="3EC25EB9" w14:textId="767DFFB1" w:rsidR="00BD165C" w:rsidRDefault="00AA0A82">
      <w:pPr>
        <w:pStyle w:val="TOC2"/>
        <w:rPr>
          <w:rFonts w:asciiTheme="minorHAnsi" w:eastAsiaTheme="minorEastAsia" w:hAnsiTheme="minorHAnsi" w:cstheme="minorBidi"/>
          <w:szCs w:val="22"/>
          <w:lang w:eastAsia="en-GB"/>
        </w:rPr>
      </w:pPr>
      <w:hyperlink w:anchor="_Toc1994920" w:history="1">
        <w:r w:rsidR="00BD165C" w:rsidRPr="005E625F">
          <w:rPr>
            <w:rStyle w:val="Hyperlink"/>
          </w:rPr>
          <w:t>2.3. Application of the risk-based approach</w:t>
        </w:r>
        <w:r w:rsidR="00BD165C">
          <w:rPr>
            <w:webHidden/>
          </w:rPr>
          <w:tab/>
        </w:r>
        <w:r w:rsidR="00BD165C">
          <w:rPr>
            <w:webHidden/>
          </w:rPr>
          <w:fldChar w:fldCharType="begin"/>
        </w:r>
        <w:r w:rsidR="00BD165C">
          <w:rPr>
            <w:webHidden/>
          </w:rPr>
          <w:instrText xml:space="preserve"> PAGEREF _Toc1994920 \h </w:instrText>
        </w:r>
        <w:r w:rsidR="00BD165C">
          <w:rPr>
            <w:webHidden/>
          </w:rPr>
        </w:r>
        <w:r w:rsidR="00BD165C">
          <w:rPr>
            <w:webHidden/>
          </w:rPr>
          <w:fldChar w:fldCharType="separate"/>
        </w:r>
        <w:r w:rsidR="00BD165C">
          <w:rPr>
            <w:webHidden/>
          </w:rPr>
          <w:t>9</w:t>
        </w:r>
        <w:r w:rsidR="00BD165C">
          <w:rPr>
            <w:webHidden/>
          </w:rPr>
          <w:fldChar w:fldCharType="end"/>
        </w:r>
      </w:hyperlink>
    </w:p>
    <w:p w14:paraId="41B8C449" w14:textId="1159C7B7" w:rsidR="00BD165C" w:rsidRDefault="00AA0A82">
      <w:pPr>
        <w:pStyle w:val="TOC2"/>
        <w:rPr>
          <w:rFonts w:asciiTheme="minorHAnsi" w:eastAsiaTheme="minorEastAsia" w:hAnsiTheme="minorHAnsi" w:cstheme="minorBidi"/>
          <w:szCs w:val="22"/>
          <w:lang w:eastAsia="en-GB"/>
        </w:rPr>
      </w:pPr>
      <w:hyperlink w:anchor="_Toc1994921" w:history="1">
        <w:r w:rsidR="00BD165C" w:rsidRPr="005E625F">
          <w:rPr>
            <w:rStyle w:val="Hyperlink"/>
          </w:rPr>
          <w:t>2.4. Challenges</w:t>
        </w:r>
        <w:r w:rsidR="00BD165C">
          <w:rPr>
            <w:webHidden/>
          </w:rPr>
          <w:tab/>
        </w:r>
        <w:r w:rsidR="00BD165C">
          <w:rPr>
            <w:webHidden/>
          </w:rPr>
          <w:fldChar w:fldCharType="begin"/>
        </w:r>
        <w:r w:rsidR="00BD165C">
          <w:rPr>
            <w:webHidden/>
          </w:rPr>
          <w:instrText xml:space="preserve"> PAGEREF _Toc1994921 \h </w:instrText>
        </w:r>
        <w:r w:rsidR="00BD165C">
          <w:rPr>
            <w:webHidden/>
          </w:rPr>
        </w:r>
        <w:r w:rsidR="00BD165C">
          <w:rPr>
            <w:webHidden/>
          </w:rPr>
          <w:fldChar w:fldCharType="separate"/>
        </w:r>
        <w:r w:rsidR="00BD165C">
          <w:rPr>
            <w:webHidden/>
          </w:rPr>
          <w:t>10</w:t>
        </w:r>
        <w:r w:rsidR="00BD165C">
          <w:rPr>
            <w:webHidden/>
          </w:rPr>
          <w:fldChar w:fldCharType="end"/>
        </w:r>
      </w:hyperlink>
    </w:p>
    <w:p w14:paraId="684EFFA1" w14:textId="3EE69542" w:rsidR="00BD165C" w:rsidRDefault="00AA0A82">
      <w:pPr>
        <w:pStyle w:val="TOC2"/>
        <w:rPr>
          <w:rFonts w:asciiTheme="minorHAnsi" w:eastAsiaTheme="minorEastAsia" w:hAnsiTheme="minorHAnsi" w:cstheme="minorBidi"/>
          <w:szCs w:val="22"/>
          <w:lang w:eastAsia="en-GB"/>
        </w:rPr>
      </w:pPr>
      <w:hyperlink w:anchor="_Toc1994922" w:history="1">
        <w:r w:rsidR="00BD165C" w:rsidRPr="005E625F">
          <w:rPr>
            <w:rStyle w:val="Hyperlink"/>
            <w:lang w:val="en-US"/>
          </w:rPr>
          <w:t xml:space="preserve">2.5. Allocating </w:t>
        </w:r>
        <w:r w:rsidR="00BD165C" w:rsidRPr="005E625F">
          <w:rPr>
            <w:rStyle w:val="Hyperlink"/>
          </w:rPr>
          <w:t>responsibility</w:t>
        </w:r>
        <w:r w:rsidR="00BD165C" w:rsidRPr="005E625F">
          <w:rPr>
            <w:rStyle w:val="Hyperlink"/>
            <w:lang w:val="en-US"/>
          </w:rPr>
          <w:t xml:space="preserve"> under a RBA</w:t>
        </w:r>
        <w:r w:rsidR="00BD165C">
          <w:rPr>
            <w:webHidden/>
          </w:rPr>
          <w:tab/>
        </w:r>
        <w:r w:rsidR="00BD165C">
          <w:rPr>
            <w:webHidden/>
          </w:rPr>
          <w:fldChar w:fldCharType="begin"/>
        </w:r>
        <w:r w:rsidR="00BD165C">
          <w:rPr>
            <w:webHidden/>
          </w:rPr>
          <w:instrText xml:space="preserve"> PAGEREF _Toc1994922 \h </w:instrText>
        </w:r>
        <w:r w:rsidR="00BD165C">
          <w:rPr>
            <w:webHidden/>
          </w:rPr>
        </w:r>
        <w:r w:rsidR="00BD165C">
          <w:rPr>
            <w:webHidden/>
          </w:rPr>
          <w:fldChar w:fldCharType="separate"/>
        </w:r>
        <w:r w:rsidR="00BD165C">
          <w:rPr>
            <w:webHidden/>
          </w:rPr>
          <w:t>12</w:t>
        </w:r>
        <w:r w:rsidR="00BD165C">
          <w:rPr>
            <w:webHidden/>
          </w:rPr>
          <w:fldChar w:fldCharType="end"/>
        </w:r>
      </w:hyperlink>
    </w:p>
    <w:p w14:paraId="39B1BEE5" w14:textId="48B77C54" w:rsidR="00BD165C" w:rsidRDefault="00AA0A82">
      <w:pPr>
        <w:pStyle w:val="TOC2"/>
        <w:rPr>
          <w:rFonts w:asciiTheme="minorHAnsi" w:eastAsiaTheme="minorEastAsia" w:hAnsiTheme="minorHAnsi" w:cstheme="minorBidi"/>
          <w:szCs w:val="22"/>
          <w:lang w:eastAsia="en-GB"/>
        </w:rPr>
      </w:pPr>
      <w:hyperlink w:anchor="_Toc1994923" w:history="1">
        <w:r w:rsidR="00BD165C" w:rsidRPr="005E625F">
          <w:rPr>
            <w:rStyle w:val="Hyperlink"/>
            <w:lang w:val="en-US"/>
          </w:rPr>
          <w:t>2.6. Identifying ML/TF risk</w:t>
        </w:r>
        <w:r w:rsidR="00BD165C">
          <w:rPr>
            <w:webHidden/>
          </w:rPr>
          <w:tab/>
        </w:r>
        <w:r w:rsidR="00BD165C">
          <w:rPr>
            <w:webHidden/>
          </w:rPr>
          <w:fldChar w:fldCharType="begin"/>
        </w:r>
        <w:r w:rsidR="00BD165C">
          <w:rPr>
            <w:webHidden/>
          </w:rPr>
          <w:instrText xml:space="preserve"> PAGEREF _Toc1994923 \h </w:instrText>
        </w:r>
        <w:r w:rsidR="00BD165C">
          <w:rPr>
            <w:webHidden/>
          </w:rPr>
        </w:r>
        <w:r w:rsidR="00BD165C">
          <w:rPr>
            <w:webHidden/>
          </w:rPr>
          <w:fldChar w:fldCharType="separate"/>
        </w:r>
        <w:r w:rsidR="00BD165C">
          <w:rPr>
            <w:webHidden/>
          </w:rPr>
          <w:t>13</w:t>
        </w:r>
        <w:r w:rsidR="00BD165C">
          <w:rPr>
            <w:webHidden/>
          </w:rPr>
          <w:fldChar w:fldCharType="end"/>
        </w:r>
      </w:hyperlink>
    </w:p>
    <w:p w14:paraId="72F5373F" w14:textId="7EFA7AB5" w:rsidR="00BD165C" w:rsidRDefault="00AA0A82">
      <w:pPr>
        <w:pStyle w:val="TOC2"/>
        <w:rPr>
          <w:rFonts w:asciiTheme="minorHAnsi" w:eastAsiaTheme="minorEastAsia" w:hAnsiTheme="minorHAnsi" w:cstheme="minorBidi"/>
          <w:szCs w:val="22"/>
          <w:lang w:eastAsia="en-GB"/>
        </w:rPr>
      </w:pPr>
      <w:hyperlink w:anchor="_Toc1994924" w:history="1">
        <w:r w:rsidR="00BD165C" w:rsidRPr="005E625F">
          <w:rPr>
            <w:rStyle w:val="Hyperlink"/>
            <w:lang w:val="en-US"/>
          </w:rPr>
          <w:t>2.7. Assessing ML/TF risk</w:t>
        </w:r>
        <w:r w:rsidR="00BD165C">
          <w:rPr>
            <w:webHidden/>
          </w:rPr>
          <w:tab/>
        </w:r>
        <w:r w:rsidR="00BD165C">
          <w:rPr>
            <w:webHidden/>
          </w:rPr>
          <w:fldChar w:fldCharType="begin"/>
        </w:r>
        <w:r w:rsidR="00BD165C">
          <w:rPr>
            <w:webHidden/>
          </w:rPr>
          <w:instrText xml:space="preserve"> PAGEREF _Toc1994924 \h </w:instrText>
        </w:r>
        <w:r w:rsidR="00BD165C">
          <w:rPr>
            <w:webHidden/>
          </w:rPr>
        </w:r>
        <w:r w:rsidR="00BD165C">
          <w:rPr>
            <w:webHidden/>
          </w:rPr>
          <w:fldChar w:fldCharType="separate"/>
        </w:r>
        <w:r w:rsidR="00BD165C">
          <w:rPr>
            <w:webHidden/>
          </w:rPr>
          <w:t>13</w:t>
        </w:r>
        <w:r w:rsidR="00BD165C">
          <w:rPr>
            <w:webHidden/>
          </w:rPr>
          <w:fldChar w:fldCharType="end"/>
        </w:r>
      </w:hyperlink>
    </w:p>
    <w:p w14:paraId="445566D8" w14:textId="2751011A" w:rsidR="00BD165C" w:rsidRDefault="00AA0A82">
      <w:pPr>
        <w:pStyle w:val="TOC2"/>
        <w:rPr>
          <w:rFonts w:asciiTheme="minorHAnsi" w:eastAsiaTheme="minorEastAsia" w:hAnsiTheme="minorHAnsi" w:cstheme="minorBidi"/>
          <w:szCs w:val="22"/>
          <w:lang w:eastAsia="en-GB"/>
        </w:rPr>
      </w:pPr>
      <w:hyperlink w:anchor="_Toc1994925" w:history="1">
        <w:r w:rsidR="00BD165C" w:rsidRPr="005E625F">
          <w:rPr>
            <w:rStyle w:val="Hyperlink"/>
            <w:lang w:val="en-US"/>
          </w:rPr>
          <w:t xml:space="preserve">2.8. Mitigating and </w:t>
        </w:r>
        <w:r w:rsidR="00BD165C" w:rsidRPr="005E625F">
          <w:rPr>
            <w:rStyle w:val="Hyperlink"/>
          </w:rPr>
          <w:t>managing</w:t>
        </w:r>
        <w:r w:rsidR="00BD165C" w:rsidRPr="005E625F">
          <w:rPr>
            <w:rStyle w:val="Hyperlink"/>
            <w:lang w:val="en-US"/>
          </w:rPr>
          <w:t xml:space="preserve"> ML/TF risk</w:t>
        </w:r>
        <w:r w:rsidR="00BD165C">
          <w:rPr>
            <w:webHidden/>
          </w:rPr>
          <w:tab/>
        </w:r>
        <w:r w:rsidR="00BD165C">
          <w:rPr>
            <w:webHidden/>
          </w:rPr>
          <w:fldChar w:fldCharType="begin"/>
        </w:r>
        <w:r w:rsidR="00BD165C">
          <w:rPr>
            <w:webHidden/>
          </w:rPr>
          <w:instrText xml:space="preserve"> PAGEREF _Toc1994925 \h </w:instrText>
        </w:r>
        <w:r w:rsidR="00BD165C">
          <w:rPr>
            <w:webHidden/>
          </w:rPr>
        </w:r>
        <w:r w:rsidR="00BD165C">
          <w:rPr>
            <w:webHidden/>
          </w:rPr>
          <w:fldChar w:fldCharType="separate"/>
        </w:r>
        <w:r w:rsidR="00BD165C">
          <w:rPr>
            <w:webHidden/>
          </w:rPr>
          <w:t>14</w:t>
        </w:r>
        <w:r w:rsidR="00BD165C">
          <w:rPr>
            <w:webHidden/>
          </w:rPr>
          <w:fldChar w:fldCharType="end"/>
        </w:r>
      </w:hyperlink>
    </w:p>
    <w:p w14:paraId="1B574928" w14:textId="30853E1B" w:rsidR="00BD165C" w:rsidRDefault="00AA0A82">
      <w:pPr>
        <w:pStyle w:val="TOC2"/>
        <w:rPr>
          <w:rFonts w:asciiTheme="minorHAnsi" w:eastAsiaTheme="minorEastAsia" w:hAnsiTheme="minorHAnsi" w:cstheme="minorBidi"/>
          <w:szCs w:val="22"/>
          <w:lang w:eastAsia="en-GB"/>
        </w:rPr>
      </w:pPr>
      <w:hyperlink w:anchor="_Toc1994926" w:history="1">
        <w:r w:rsidR="00BD165C" w:rsidRPr="005E625F">
          <w:rPr>
            <w:rStyle w:val="Hyperlink"/>
          </w:rPr>
          <w:t xml:space="preserve">2.9. Developing a </w:t>
        </w:r>
        <w:r w:rsidR="00BD165C" w:rsidRPr="005E625F">
          <w:rPr>
            <w:rStyle w:val="Hyperlink"/>
            <w:lang w:val="en-US"/>
          </w:rPr>
          <w:t>common</w:t>
        </w:r>
        <w:r w:rsidR="00BD165C" w:rsidRPr="005E625F">
          <w:rPr>
            <w:rStyle w:val="Hyperlink"/>
          </w:rPr>
          <w:t xml:space="preserve"> understanding of the RBA</w:t>
        </w:r>
        <w:r w:rsidR="00BD165C">
          <w:rPr>
            <w:webHidden/>
          </w:rPr>
          <w:tab/>
        </w:r>
        <w:r w:rsidR="00BD165C">
          <w:rPr>
            <w:webHidden/>
          </w:rPr>
          <w:fldChar w:fldCharType="begin"/>
        </w:r>
        <w:r w:rsidR="00BD165C">
          <w:rPr>
            <w:webHidden/>
          </w:rPr>
          <w:instrText xml:space="preserve"> PAGEREF _Toc1994926 \h </w:instrText>
        </w:r>
        <w:r w:rsidR="00BD165C">
          <w:rPr>
            <w:webHidden/>
          </w:rPr>
        </w:r>
        <w:r w:rsidR="00BD165C">
          <w:rPr>
            <w:webHidden/>
          </w:rPr>
          <w:fldChar w:fldCharType="separate"/>
        </w:r>
        <w:r w:rsidR="00BD165C">
          <w:rPr>
            <w:webHidden/>
          </w:rPr>
          <w:t>14</w:t>
        </w:r>
        <w:r w:rsidR="00BD165C">
          <w:rPr>
            <w:webHidden/>
          </w:rPr>
          <w:fldChar w:fldCharType="end"/>
        </w:r>
      </w:hyperlink>
    </w:p>
    <w:p w14:paraId="7E9E5174" w14:textId="6C257B3F" w:rsidR="00BD165C" w:rsidRDefault="00AA0A82">
      <w:pPr>
        <w:pStyle w:val="TOC1"/>
        <w:rPr>
          <w:rFonts w:asciiTheme="minorHAnsi" w:eastAsiaTheme="minorEastAsia" w:hAnsiTheme="minorHAnsi" w:cstheme="minorBidi"/>
          <w:b w:val="0"/>
          <w:szCs w:val="22"/>
          <w:lang w:eastAsia="en-GB"/>
        </w:rPr>
      </w:pPr>
      <w:hyperlink w:anchor="_Toc1994927" w:history="1">
        <w:r w:rsidR="00BD165C" w:rsidRPr="005E625F">
          <w:rPr>
            <w:rStyle w:val="Hyperlink"/>
            <w:lang w:eastAsia="zh-CN"/>
          </w:rPr>
          <w:t xml:space="preserve">3. SECTION III – </w:t>
        </w:r>
        <w:r w:rsidR="00BD165C" w:rsidRPr="005E625F">
          <w:rPr>
            <w:rStyle w:val="Hyperlink"/>
          </w:rPr>
          <w:t>Guidance</w:t>
        </w:r>
        <w:r w:rsidR="00BD165C" w:rsidRPr="005E625F">
          <w:rPr>
            <w:rStyle w:val="Hyperlink"/>
            <w:lang w:eastAsia="zh-CN"/>
          </w:rPr>
          <w:t xml:space="preserve"> for TCSPs </w:t>
        </w:r>
        <w:r w:rsidR="00BD165C" w:rsidRPr="005E625F">
          <w:rPr>
            <w:rStyle w:val="Hyperlink"/>
            <w:spacing w:val="-5"/>
          </w:rPr>
          <w:t xml:space="preserve">and those providing services to TCSPs </w:t>
        </w:r>
        <w:r w:rsidR="00BD165C" w:rsidRPr="005E625F">
          <w:rPr>
            <w:rStyle w:val="Hyperlink"/>
          </w:rPr>
          <w:t>on</w:t>
        </w:r>
        <w:r w:rsidR="00BD165C" w:rsidRPr="005E625F">
          <w:rPr>
            <w:rStyle w:val="Hyperlink"/>
            <w:spacing w:val="-2"/>
          </w:rPr>
          <w:t xml:space="preserve"> </w:t>
        </w:r>
        <w:r w:rsidR="00BD165C" w:rsidRPr="005E625F">
          <w:rPr>
            <w:rStyle w:val="Hyperlink"/>
          </w:rPr>
          <w:t>implem</w:t>
        </w:r>
        <w:r w:rsidR="00BD165C" w:rsidRPr="005E625F">
          <w:rPr>
            <w:rStyle w:val="Hyperlink"/>
            <w:spacing w:val="1"/>
          </w:rPr>
          <w:t>e</w:t>
        </w:r>
        <w:r w:rsidR="00BD165C" w:rsidRPr="005E625F">
          <w:rPr>
            <w:rStyle w:val="Hyperlink"/>
          </w:rPr>
          <w:t>nti</w:t>
        </w:r>
        <w:r w:rsidR="00BD165C" w:rsidRPr="005E625F">
          <w:rPr>
            <w:rStyle w:val="Hyperlink"/>
            <w:spacing w:val="1"/>
          </w:rPr>
          <w:t>n</w:t>
        </w:r>
        <w:r w:rsidR="00BD165C" w:rsidRPr="005E625F">
          <w:rPr>
            <w:rStyle w:val="Hyperlink"/>
          </w:rPr>
          <w:t>g</w:t>
        </w:r>
        <w:r w:rsidR="00BD165C" w:rsidRPr="005E625F">
          <w:rPr>
            <w:rStyle w:val="Hyperlink"/>
            <w:spacing w:val="-18"/>
          </w:rPr>
          <w:t xml:space="preserve"> </w:t>
        </w:r>
        <w:r w:rsidR="00BD165C" w:rsidRPr="005E625F">
          <w:rPr>
            <w:rStyle w:val="Hyperlink"/>
          </w:rPr>
          <w:t>a</w:t>
        </w:r>
        <w:r w:rsidR="00BD165C" w:rsidRPr="005E625F">
          <w:rPr>
            <w:rStyle w:val="Hyperlink"/>
            <w:spacing w:val="-2"/>
          </w:rPr>
          <w:t xml:space="preserve"> </w:t>
        </w:r>
        <w:r w:rsidR="00BD165C" w:rsidRPr="005E625F">
          <w:rPr>
            <w:rStyle w:val="Hyperlink"/>
            <w:spacing w:val="1"/>
          </w:rPr>
          <w:t>r</w:t>
        </w:r>
        <w:r w:rsidR="00BD165C" w:rsidRPr="005E625F">
          <w:rPr>
            <w:rStyle w:val="Hyperlink"/>
          </w:rPr>
          <w:t>isk-</w:t>
        </w:r>
        <w:r w:rsidR="00BD165C" w:rsidRPr="005E625F">
          <w:rPr>
            <w:rStyle w:val="Hyperlink"/>
            <w:spacing w:val="1"/>
          </w:rPr>
          <w:t>b</w:t>
        </w:r>
        <w:r w:rsidR="00BD165C" w:rsidRPr="005E625F">
          <w:rPr>
            <w:rStyle w:val="Hyperlink"/>
          </w:rPr>
          <w:t>ased approach</w:t>
        </w:r>
        <w:r w:rsidR="00BD165C">
          <w:rPr>
            <w:webHidden/>
          </w:rPr>
          <w:tab/>
        </w:r>
        <w:r w:rsidR="00BD165C">
          <w:rPr>
            <w:webHidden/>
          </w:rPr>
          <w:fldChar w:fldCharType="begin"/>
        </w:r>
        <w:r w:rsidR="00BD165C">
          <w:rPr>
            <w:webHidden/>
          </w:rPr>
          <w:instrText xml:space="preserve"> PAGEREF _Toc1994927 \h </w:instrText>
        </w:r>
        <w:r w:rsidR="00BD165C">
          <w:rPr>
            <w:webHidden/>
          </w:rPr>
        </w:r>
        <w:r w:rsidR="00BD165C">
          <w:rPr>
            <w:webHidden/>
          </w:rPr>
          <w:fldChar w:fldCharType="separate"/>
        </w:r>
        <w:r w:rsidR="00BD165C">
          <w:rPr>
            <w:webHidden/>
          </w:rPr>
          <w:t>15</w:t>
        </w:r>
        <w:r w:rsidR="00BD165C">
          <w:rPr>
            <w:webHidden/>
          </w:rPr>
          <w:fldChar w:fldCharType="end"/>
        </w:r>
      </w:hyperlink>
    </w:p>
    <w:p w14:paraId="1AA7CBC0" w14:textId="114CA207" w:rsidR="00BD165C" w:rsidRDefault="00AA0A82">
      <w:pPr>
        <w:pStyle w:val="TOC2"/>
        <w:rPr>
          <w:rFonts w:asciiTheme="minorHAnsi" w:eastAsiaTheme="minorEastAsia" w:hAnsiTheme="minorHAnsi" w:cstheme="minorBidi"/>
          <w:szCs w:val="22"/>
          <w:lang w:eastAsia="en-GB"/>
        </w:rPr>
      </w:pPr>
      <w:hyperlink w:anchor="_Toc1994928" w:history="1">
        <w:r w:rsidR="00BD165C" w:rsidRPr="005E625F">
          <w:rPr>
            <w:rStyle w:val="Hyperlink"/>
          </w:rPr>
          <w:t>3.1. Risk assessment</w:t>
        </w:r>
        <w:r w:rsidR="00BD165C">
          <w:rPr>
            <w:webHidden/>
          </w:rPr>
          <w:tab/>
        </w:r>
        <w:r w:rsidR="00BD165C">
          <w:rPr>
            <w:webHidden/>
          </w:rPr>
          <w:fldChar w:fldCharType="begin"/>
        </w:r>
        <w:r w:rsidR="00BD165C">
          <w:rPr>
            <w:webHidden/>
          </w:rPr>
          <w:instrText xml:space="preserve"> PAGEREF _Toc1994928 \h </w:instrText>
        </w:r>
        <w:r w:rsidR="00BD165C">
          <w:rPr>
            <w:webHidden/>
          </w:rPr>
        </w:r>
        <w:r w:rsidR="00BD165C">
          <w:rPr>
            <w:webHidden/>
          </w:rPr>
          <w:fldChar w:fldCharType="separate"/>
        </w:r>
        <w:r w:rsidR="00BD165C">
          <w:rPr>
            <w:webHidden/>
          </w:rPr>
          <w:t>15</w:t>
        </w:r>
        <w:r w:rsidR="00BD165C">
          <w:rPr>
            <w:webHidden/>
          </w:rPr>
          <w:fldChar w:fldCharType="end"/>
        </w:r>
      </w:hyperlink>
    </w:p>
    <w:p w14:paraId="32403AED" w14:textId="34518A3A" w:rsidR="00BD165C" w:rsidRDefault="00AA0A82">
      <w:pPr>
        <w:pStyle w:val="TOC3"/>
        <w:rPr>
          <w:rFonts w:asciiTheme="minorHAnsi" w:eastAsiaTheme="minorEastAsia" w:hAnsiTheme="minorHAnsi" w:cstheme="minorBidi"/>
          <w:szCs w:val="22"/>
          <w:lang w:eastAsia="en-GB"/>
        </w:rPr>
      </w:pPr>
      <w:hyperlink w:anchor="_Toc1994929" w:history="1">
        <w:r w:rsidR="00BD165C" w:rsidRPr="005E625F">
          <w:rPr>
            <w:rStyle w:val="Hyperlink"/>
          </w:rPr>
          <w:t>3.1.1.</w:t>
        </w:r>
        <w:r w:rsidR="00BD165C" w:rsidRPr="005E625F">
          <w:rPr>
            <w:rStyle w:val="Hyperlink"/>
            <w:u w:color="000000"/>
          </w:rPr>
          <w:t xml:space="preserve"> Country/</w:t>
        </w:r>
        <w:r w:rsidR="00BD165C" w:rsidRPr="005E625F">
          <w:rPr>
            <w:rStyle w:val="Hyperlink"/>
          </w:rPr>
          <w:t>Geographic</w:t>
        </w:r>
        <w:r w:rsidR="00BD165C" w:rsidRPr="005E625F">
          <w:rPr>
            <w:rStyle w:val="Hyperlink"/>
            <w:spacing w:val="-19"/>
            <w:u w:color="000000"/>
          </w:rPr>
          <w:t xml:space="preserve"> </w:t>
        </w:r>
        <w:r w:rsidR="00BD165C" w:rsidRPr="005E625F">
          <w:rPr>
            <w:rStyle w:val="Hyperlink"/>
            <w:u w:color="000000"/>
          </w:rPr>
          <w:t>risk</w:t>
        </w:r>
        <w:r w:rsidR="00BD165C">
          <w:rPr>
            <w:webHidden/>
          </w:rPr>
          <w:tab/>
        </w:r>
        <w:r w:rsidR="00BD165C">
          <w:rPr>
            <w:webHidden/>
          </w:rPr>
          <w:fldChar w:fldCharType="begin"/>
        </w:r>
        <w:r w:rsidR="00BD165C">
          <w:rPr>
            <w:webHidden/>
          </w:rPr>
          <w:instrText xml:space="preserve"> PAGEREF _Toc1994929 \h </w:instrText>
        </w:r>
        <w:r w:rsidR="00BD165C">
          <w:rPr>
            <w:webHidden/>
          </w:rPr>
        </w:r>
        <w:r w:rsidR="00BD165C">
          <w:rPr>
            <w:webHidden/>
          </w:rPr>
          <w:fldChar w:fldCharType="separate"/>
        </w:r>
        <w:r w:rsidR="00BD165C">
          <w:rPr>
            <w:webHidden/>
          </w:rPr>
          <w:t>17</w:t>
        </w:r>
        <w:r w:rsidR="00BD165C">
          <w:rPr>
            <w:webHidden/>
          </w:rPr>
          <w:fldChar w:fldCharType="end"/>
        </w:r>
      </w:hyperlink>
    </w:p>
    <w:p w14:paraId="65215616" w14:textId="36F41348" w:rsidR="00BD165C" w:rsidRDefault="00AA0A82">
      <w:pPr>
        <w:pStyle w:val="TOC3"/>
        <w:rPr>
          <w:rFonts w:asciiTheme="minorHAnsi" w:eastAsiaTheme="minorEastAsia" w:hAnsiTheme="minorHAnsi" w:cstheme="minorBidi"/>
          <w:szCs w:val="22"/>
          <w:lang w:eastAsia="en-GB"/>
        </w:rPr>
      </w:pPr>
      <w:hyperlink w:anchor="_Toc1994930" w:history="1">
        <w:r w:rsidR="00BD165C" w:rsidRPr="005E625F">
          <w:rPr>
            <w:rStyle w:val="Hyperlink"/>
            <w:u w:color="000000"/>
          </w:rPr>
          <w:t>3.1.2. Client risk</w:t>
        </w:r>
        <w:r w:rsidR="00BD165C">
          <w:rPr>
            <w:webHidden/>
          </w:rPr>
          <w:tab/>
        </w:r>
        <w:r w:rsidR="00BD165C">
          <w:rPr>
            <w:webHidden/>
          </w:rPr>
          <w:fldChar w:fldCharType="begin"/>
        </w:r>
        <w:r w:rsidR="00BD165C">
          <w:rPr>
            <w:webHidden/>
          </w:rPr>
          <w:instrText xml:space="preserve"> PAGEREF _Toc1994930 \h </w:instrText>
        </w:r>
        <w:r w:rsidR="00BD165C">
          <w:rPr>
            <w:webHidden/>
          </w:rPr>
        </w:r>
        <w:r w:rsidR="00BD165C">
          <w:rPr>
            <w:webHidden/>
          </w:rPr>
          <w:fldChar w:fldCharType="separate"/>
        </w:r>
        <w:r w:rsidR="00BD165C">
          <w:rPr>
            <w:webHidden/>
          </w:rPr>
          <w:t>18</w:t>
        </w:r>
        <w:r w:rsidR="00BD165C">
          <w:rPr>
            <w:webHidden/>
          </w:rPr>
          <w:fldChar w:fldCharType="end"/>
        </w:r>
      </w:hyperlink>
    </w:p>
    <w:p w14:paraId="4AF0687A" w14:textId="7FE179A0" w:rsidR="00BD165C" w:rsidRDefault="00AA0A82">
      <w:pPr>
        <w:pStyle w:val="TOC3"/>
        <w:rPr>
          <w:rFonts w:asciiTheme="minorHAnsi" w:eastAsiaTheme="minorEastAsia" w:hAnsiTheme="minorHAnsi" w:cstheme="minorBidi"/>
          <w:szCs w:val="22"/>
          <w:lang w:eastAsia="en-GB"/>
        </w:rPr>
      </w:pPr>
      <w:hyperlink w:anchor="_Toc1994931" w:history="1">
        <w:r w:rsidR="00BD165C" w:rsidRPr="005E625F">
          <w:rPr>
            <w:rStyle w:val="Hyperlink"/>
          </w:rPr>
          <w:t>3.1.3. Transaction/service Risk</w:t>
        </w:r>
        <w:r w:rsidR="00BD165C">
          <w:rPr>
            <w:webHidden/>
          </w:rPr>
          <w:tab/>
        </w:r>
        <w:r w:rsidR="00BD165C">
          <w:rPr>
            <w:webHidden/>
          </w:rPr>
          <w:fldChar w:fldCharType="begin"/>
        </w:r>
        <w:r w:rsidR="00BD165C">
          <w:rPr>
            <w:webHidden/>
          </w:rPr>
          <w:instrText xml:space="preserve"> PAGEREF _Toc1994931 \h </w:instrText>
        </w:r>
        <w:r w:rsidR="00BD165C">
          <w:rPr>
            <w:webHidden/>
          </w:rPr>
        </w:r>
        <w:r w:rsidR="00BD165C">
          <w:rPr>
            <w:webHidden/>
          </w:rPr>
          <w:fldChar w:fldCharType="separate"/>
        </w:r>
        <w:r w:rsidR="00BD165C">
          <w:rPr>
            <w:webHidden/>
          </w:rPr>
          <w:t>20</w:t>
        </w:r>
        <w:r w:rsidR="00BD165C">
          <w:rPr>
            <w:webHidden/>
          </w:rPr>
          <w:fldChar w:fldCharType="end"/>
        </w:r>
      </w:hyperlink>
    </w:p>
    <w:p w14:paraId="03E4EC09" w14:textId="040BDEEF" w:rsidR="00BD165C" w:rsidRDefault="00AA0A82">
      <w:pPr>
        <w:pStyle w:val="TOC3"/>
        <w:rPr>
          <w:rFonts w:asciiTheme="minorHAnsi" w:eastAsiaTheme="minorEastAsia" w:hAnsiTheme="minorHAnsi" w:cstheme="minorBidi"/>
          <w:szCs w:val="22"/>
          <w:lang w:eastAsia="en-GB"/>
        </w:rPr>
      </w:pPr>
      <w:hyperlink w:anchor="_Toc1994932" w:history="1">
        <w:r w:rsidR="00BD165C" w:rsidRPr="005E625F">
          <w:rPr>
            <w:rStyle w:val="Hyperlink"/>
          </w:rPr>
          <w:t>3.1.4. Variables</w:t>
        </w:r>
        <w:r w:rsidR="00BD165C" w:rsidRPr="005E625F">
          <w:rPr>
            <w:rStyle w:val="Hyperlink"/>
            <w:spacing w:val="-9"/>
          </w:rPr>
          <w:t xml:space="preserve"> </w:t>
        </w:r>
        <w:r w:rsidR="00BD165C" w:rsidRPr="005E625F">
          <w:rPr>
            <w:rStyle w:val="Hyperlink"/>
          </w:rPr>
          <w:t>that</w:t>
        </w:r>
        <w:r w:rsidR="00BD165C" w:rsidRPr="005E625F">
          <w:rPr>
            <w:rStyle w:val="Hyperlink"/>
            <w:spacing w:val="-3"/>
          </w:rPr>
          <w:t xml:space="preserve"> </w:t>
        </w:r>
        <w:r w:rsidR="00BD165C" w:rsidRPr="005E625F">
          <w:rPr>
            <w:rStyle w:val="Hyperlink"/>
          </w:rPr>
          <w:t>may</w:t>
        </w:r>
        <w:r w:rsidR="00BD165C" w:rsidRPr="005E625F">
          <w:rPr>
            <w:rStyle w:val="Hyperlink"/>
            <w:spacing w:val="-4"/>
          </w:rPr>
          <w:t xml:space="preserve"> i</w:t>
        </w:r>
        <w:r w:rsidR="00BD165C" w:rsidRPr="005E625F">
          <w:rPr>
            <w:rStyle w:val="Hyperlink"/>
          </w:rPr>
          <w:t>mpact</w:t>
        </w:r>
        <w:r w:rsidR="00BD165C" w:rsidRPr="005E625F">
          <w:rPr>
            <w:rStyle w:val="Hyperlink"/>
            <w:spacing w:val="-6"/>
          </w:rPr>
          <w:t xml:space="preserve"> </w:t>
        </w:r>
        <w:r w:rsidR="00BD165C" w:rsidRPr="005E625F">
          <w:rPr>
            <w:rStyle w:val="Hyperlink"/>
          </w:rPr>
          <w:t>on</w:t>
        </w:r>
        <w:r w:rsidR="00BD165C" w:rsidRPr="005E625F">
          <w:rPr>
            <w:rStyle w:val="Hyperlink"/>
            <w:spacing w:val="-2"/>
          </w:rPr>
          <w:t xml:space="preserve"> r</w:t>
        </w:r>
        <w:r w:rsidR="00BD165C" w:rsidRPr="005E625F">
          <w:rPr>
            <w:rStyle w:val="Hyperlink"/>
          </w:rPr>
          <w:t>isk</w:t>
        </w:r>
        <w:r w:rsidR="00BD165C">
          <w:rPr>
            <w:webHidden/>
          </w:rPr>
          <w:tab/>
        </w:r>
        <w:r w:rsidR="00BD165C">
          <w:rPr>
            <w:webHidden/>
          </w:rPr>
          <w:fldChar w:fldCharType="begin"/>
        </w:r>
        <w:r w:rsidR="00BD165C">
          <w:rPr>
            <w:webHidden/>
          </w:rPr>
          <w:instrText xml:space="preserve"> PAGEREF _Toc1994932 \h </w:instrText>
        </w:r>
        <w:r w:rsidR="00BD165C">
          <w:rPr>
            <w:webHidden/>
          </w:rPr>
        </w:r>
        <w:r w:rsidR="00BD165C">
          <w:rPr>
            <w:webHidden/>
          </w:rPr>
          <w:fldChar w:fldCharType="separate"/>
        </w:r>
        <w:r w:rsidR="00BD165C">
          <w:rPr>
            <w:webHidden/>
          </w:rPr>
          <w:t>22</w:t>
        </w:r>
        <w:r w:rsidR="00BD165C">
          <w:rPr>
            <w:webHidden/>
          </w:rPr>
          <w:fldChar w:fldCharType="end"/>
        </w:r>
      </w:hyperlink>
    </w:p>
    <w:p w14:paraId="003FD556" w14:textId="030AE66A" w:rsidR="00BD165C" w:rsidRDefault="00AA0A82">
      <w:pPr>
        <w:pStyle w:val="TOC3"/>
        <w:rPr>
          <w:rFonts w:asciiTheme="minorHAnsi" w:eastAsiaTheme="minorEastAsia" w:hAnsiTheme="minorHAnsi" w:cstheme="minorBidi"/>
          <w:szCs w:val="22"/>
          <w:lang w:eastAsia="en-GB"/>
        </w:rPr>
      </w:pPr>
      <w:hyperlink w:anchor="_Toc1994933" w:history="1">
        <w:r w:rsidR="00BD165C" w:rsidRPr="005E625F">
          <w:rPr>
            <w:rStyle w:val="Hyperlink"/>
          </w:rPr>
          <w:t>3.1.5. Documentation of risk assessments</w:t>
        </w:r>
        <w:r w:rsidR="00BD165C">
          <w:rPr>
            <w:webHidden/>
          </w:rPr>
          <w:tab/>
        </w:r>
        <w:r w:rsidR="00BD165C">
          <w:rPr>
            <w:webHidden/>
          </w:rPr>
          <w:fldChar w:fldCharType="begin"/>
        </w:r>
        <w:r w:rsidR="00BD165C">
          <w:rPr>
            <w:webHidden/>
          </w:rPr>
          <w:instrText xml:space="preserve"> PAGEREF _Toc1994933 \h </w:instrText>
        </w:r>
        <w:r w:rsidR="00BD165C">
          <w:rPr>
            <w:webHidden/>
          </w:rPr>
        </w:r>
        <w:r w:rsidR="00BD165C">
          <w:rPr>
            <w:webHidden/>
          </w:rPr>
          <w:fldChar w:fldCharType="separate"/>
        </w:r>
        <w:r w:rsidR="00BD165C">
          <w:rPr>
            <w:webHidden/>
          </w:rPr>
          <w:t>23</w:t>
        </w:r>
        <w:r w:rsidR="00BD165C">
          <w:rPr>
            <w:webHidden/>
          </w:rPr>
          <w:fldChar w:fldCharType="end"/>
        </w:r>
      </w:hyperlink>
    </w:p>
    <w:p w14:paraId="2BE80355" w14:textId="3B99038E" w:rsidR="00BD165C" w:rsidRDefault="00AA0A82">
      <w:pPr>
        <w:pStyle w:val="TOC2"/>
        <w:rPr>
          <w:rFonts w:asciiTheme="minorHAnsi" w:eastAsiaTheme="minorEastAsia" w:hAnsiTheme="minorHAnsi" w:cstheme="minorBidi"/>
          <w:szCs w:val="22"/>
          <w:lang w:eastAsia="en-GB"/>
        </w:rPr>
      </w:pPr>
      <w:hyperlink w:anchor="_Toc1994934" w:history="1">
        <w:r w:rsidR="00BD165C" w:rsidRPr="005E625F">
          <w:rPr>
            <w:rStyle w:val="Hyperlink"/>
          </w:rPr>
          <w:t>3.2. Risk mitigation</w:t>
        </w:r>
        <w:r w:rsidR="00BD165C">
          <w:rPr>
            <w:webHidden/>
          </w:rPr>
          <w:tab/>
        </w:r>
        <w:r w:rsidR="00BD165C">
          <w:rPr>
            <w:webHidden/>
          </w:rPr>
          <w:fldChar w:fldCharType="begin"/>
        </w:r>
        <w:r w:rsidR="00BD165C">
          <w:rPr>
            <w:webHidden/>
          </w:rPr>
          <w:instrText xml:space="preserve"> PAGEREF _Toc1994934 \h </w:instrText>
        </w:r>
        <w:r w:rsidR="00BD165C">
          <w:rPr>
            <w:webHidden/>
          </w:rPr>
        </w:r>
        <w:r w:rsidR="00BD165C">
          <w:rPr>
            <w:webHidden/>
          </w:rPr>
          <w:fldChar w:fldCharType="separate"/>
        </w:r>
        <w:r w:rsidR="00BD165C">
          <w:rPr>
            <w:webHidden/>
          </w:rPr>
          <w:t>24</w:t>
        </w:r>
        <w:r w:rsidR="00BD165C">
          <w:rPr>
            <w:webHidden/>
          </w:rPr>
          <w:fldChar w:fldCharType="end"/>
        </w:r>
      </w:hyperlink>
    </w:p>
    <w:p w14:paraId="7ED4AB78" w14:textId="6F60B903" w:rsidR="00BD165C" w:rsidRDefault="00AA0A82">
      <w:pPr>
        <w:pStyle w:val="TOC3"/>
        <w:rPr>
          <w:rFonts w:asciiTheme="minorHAnsi" w:eastAsiaTheme="minorEastAsia" w:hAnsiTheme="minorHAnsi" w:cstheme="minorBidi"/>
          <w:szCs w:val="22"/>
          <w:lang w:eastAsia="en-GB"/>
        </w:rPr>
      </w:pPr>
      <w:hyperlink w:anchor="_Toc1994935" w:history="1">
        <w:r w:rsidR="00BD165C" w:rsidRPr="005E625F">
          <w:rPr>
            <w:rStyle w:val="Hyperlink"/>
          </w:rPr>
          <w:t>3.2.1.</w:t>
        </w:r>
        <w:r w:rsidR="00BD165C" w:rsidRPr="005E625F">
          <w:rPr>
            <w:rStyle w:val="Hyperlink"/>
            <w:u w:color="000000"/>
          </w:rPr>
          <w:t xml:space="preserve"> Initial and </w:t>
        </w:r>
        <w:r w:rsidR="00BD165C" w:rsidRPr="005E625F">
          <w:rPr>
            <w:rStyle w:val="Hyperlink"/>
          </w:rPr>
          <w:t>ongoing</w:t>
        </w:r>
        <w:r w:rsidR="00BD165C" w:rsidRPr="005E625F">
          <w:rPr>
            <w:rStyle w:val="Hyperlink"/>
            <w:u w:color="000000"/>
          </w:rPr>
          <w:t xml:space="preserve"> CDD (R.10 and 22)</w:t>
        </w:r>
        <w:r w:rsidR="00BD165C">
          <w:rPr>
            <w:webHidden/>
          </w:rPr>
          <w:tab/>
        </w:r>
        <w:r w:rsidR="00BD165C">
          <w:rPr>
            <w:webHidden/>
          </w:rPr>
          <w:fldChar w:fldCharType="begin"/>
        </w:r>
        <w:r w:rsidR="00BD165C">
          <w:rPr>
            <w:webHidden/>
          </w:rPr>
          <w:instrText xml:space="preserve"> PAGEREF _Toc1994935 \h </w:instrText>
        </w:r>
        <w:r w:rsidR="00BD165C">
          <w:rPr>
            <w:webHidden/>
          </w:rPr>
        </w:r>
        <w:r w:rsidR="00BD165C">
          <w:rPr>
            <w:webHidden/>
          </w:rPr>
          <w:fldChar w:fldCharType="separate"/>
        </w:r>
        <w:r w:rsidR="00BD165C">
          <w:rPr>
            <w:webHidden/>
          </w:rPr>
          <w:t>24</w:t>
        </w:r>
        <w:r w:rsidR="00BD165C">
          <w:rPr>
            <w:webHidden/>
          </w:rPr>
          <w:fldChar w:fldCharType="end"/>
        </w:r>
      </w:hyperlink>
    </w:p>
    <w:p w14:paraId="3FC30FC8" w14:textId="073813DC" w:rsidR="00BD165C" w:rsidRDefault="00AA0A82">
      <w:pPr>
        <w:pStyle w:val="TOC3"/>
        <w:rPr>
          <w:rFonts w:asciiTheme="minorHAnsi" w:eastAsiaTheme="minorEastAsia" w:hAnsiTheme="minorHAnsi" w:cstheme="minorBidi"/>
          <w:szCs w:val="22"/>
          <w:lang w:eastAsia="en-GB"/>
        </w:rPr>
      </w:pPr>
      <w:hyperlink w:anchor="_Toc1994936" w:history="1">
        <w:r w:rsidR="00BD165C" w:rsidRPr="005E625F">
          <w:rPr>
            <w:rStyle w:val="Hyperlink"/>
          </w:rPr>
          <w:t>3.2.2. Politically exposed persons (PEP) (R.12)</w:t>
        </w:r>
        <w:r w:rsidR="00BD165C">
          <w:rPr>
            <w:webHidden/>
          </w:rPr>
          <w:tab/>
        </w:r>
        <w:r w:rsidR="00BD165C">
          <w:rPr>
            <w:webHidden/>
          </w:rPr>
          <w:fldChar w:fldCharType="begin"/>
        </w:r>
        <w:r w:rsidR="00BD165C">
          <w:rPr>
            <w:webHidden/>
          </w:rPr>
          <w:instrText xml:space="preserve"> PAGEREF _Toc1994936 \h </w:instrText>
        </w:r>
        <w:r w:rsidR="00BD165C">
          <w:rPr>
            <w:webHidden/>
          </w:rPr>
        </w:r>
        <w:r w:rsidR="00BD165C">
          <w:rPr>
            <w:webHidden/>
          </w:rPr>
          <w:fldChar w:fldCharType="separate"/>
        </w:r>
        <w:r w:rsidR="00BD165C">
          <w:rPr>
            <w:webHidden/>
          </w:rPr>
          <w:t>28</w:t>
        </w:r>
        <w:r w:rsidR="00BD165C">
          <w:rPr>
            <w:webHidden/>
          </w:rPr>
          <w:fldChar w:fldCharType="end"/>
        </w:r>
      </w:hyperlink>
    </w:p>
    <w:p w14:paraId="394148CB" w14:textId="2DD1C3BA" w:rsidR="00BD165C" w:rsidRDefault="00AA0A82">
      <w:pPr>
        <w:pStyle w:val="TOC3"/>
        <w:rPr>
          <w:rFonts w:asciiTheme="minorHAnsi" w:eastAsiaTheme="minorEastAsia" w:hAnsiTheme="minorHAnsi" w:cstheme="minorBidi"/>
          <w:szCs w:val="22"/>
          <w:lang w:eastAsia="en-GB"/>
        </w:rPr>
      </w:pPr>
      <w:hyperlink w:anchor="_Toc1994937" w:history="1">
        <w:r w:rsidR="00BD165C" w:rsidRPr="005E625F">
          <w:rPr>
            <w:rStyle w:val="Hyperlink"/>
          </w:rPr>
          <w:t>3.2.3.</w:t>
        </w:r>
        <w:r w:rsidR="00BD165C" w:rsidRPr="005E625F">
          <w:rPr>
            <w:rStyle w:val="Hyperlink"/>
            <w:u w:color="000000"/>
          </w:rPr>
          <w:t xml:space="preserve"> Ongoing </w:t>
        </w:r>
        <w:r w:rsidR="00BD165C" w:rsidRPr="005E625F">
          <w:rPr>
            <w:rStyle w:val="Hyperlink"/>
          </w:rPr>
          <w:t>monitoring</w:t>
        </w:r>
        <w:r w:rsidR="00BD165C" w:rsidRPr="005E625F">
          <w:rPr>
            <w:rStyle w:val="Hyperlink"/>
            <w:u w:color="000000"/>
          </w:rPr>
          <w:t xml:space="preserve"> of clients and specified activities (R.10 and 22)</w:t>
        </w:r>
        <w:r w:rsidR="00BD165C">
          <w:rPr>
            <w:webHidden/>
          </w:rPr>
          <w:tab/>
        </w:r>
        <w:r w:rsidR="00BD165C">
          <w:rPr>
            <w:webHidden/>
          </w:rPr>
          <w:fldChar w:fldCharType="begin"/>
        </w:r>
        <w:r w:rsidR="00BD165C">
          <w:rPr>
            <w:webHidden/>
          </w:rPr>
          <w:instrText xml:space="preserve"> PAGEREF _Toc1994937 \h </w:instrText>
        </w:r>
        <w:r w:rsidR="00BD165C">
          <w:rPr>
            <w:webHidden/>
          </w:rPr>
        </w:r>
        <w:r w:rsidR="00BD165C">
          <w:rPr>
            <w:webHidden/>
          </w:rPr>
          <w:fldChar w:fldCharType="separate"/>
        </w:r>
        <w:r w:rsidR="00BD165C">
          <w:rPr>
            <w:webHidden/>
          </w:rPr>
          <w:t>29</w:t>
        </w:r>
        <w:r w:rsidR="00BD165C">
          <w:rPr>
            <w:webHidden/>
          </w:rPr>
          <w:fldChar w:fldCharType="end"/>
        </w:r>
      </w:hyperlink>
    </w:p>
    <w:p w14:paraId="1892651F" w14:textId="19A85AFF" w:rsidR="00BD165C" w:rsidRDefault="00AA0A82">
      <w:pPr>
        <w:pStyle w:val="TOC3"/>
        <w:rPr>
          <w:rFonts w:asciiTheme="minorHAnsi" w:eastAsiaTheme="minorEastAsia" w:hAnsiTheme="minorHAnsi" w:cstheme="minorBidi"/>
          <w:szCs w:val="22"/>
          <w:lang w:eastAsia="en-GB"/>
        </w:rPr>
      </w:pPr>
      <w:hyperlink w:anchor="_Toc1994938" w:history="1">
        <w:r w:rsidR="00BD165C" w:rsidRPr="005E625F">
          <w:rPr>
            <w:rStyle w:val="Hyperlink"/>
          </w:rPr>
          <w:t>3.2.4.</w:t>
        </w:r>
        <w:r w:rsidR="00BD165C" w:rsidRPr="005E625F">
          <w:rPr>
            <w:rStyle w:val="Hyperlink"/>
            <w:u w:color="000000"/>
          </w:rPr>
          <w:t xml:space="preserve"> Suspicious</w:t>
        </w:r>
        <w:r w:rsidR="00BD165C" w:rsidRPr="005E625F">
          <w:rPr>
            <w:rStyle w:val="Hyperlink"/>
            <w:spacing w:val="-10"/>
            <w:u w:color="000000"/>
          </w:rPr>
          <w:t xml:space="preserve"> </w:t>
        </w:r>
        <w:r w:rsidR="00BD165C" w:rsidRPr="005E625F">
          <w:rPr>
            <w:rStyle w:val="Hyperlink"/>
          </w:rPr>
          <w:t>transaction</w:t>
        </w:r>
        <w:r w:rsidR="00BD165C" w:rsidRPr="005E625F">
          <w:rPr>
            <w:rStyle w:val="Hyperlink"/>
            <w:spacing w:val="-5"/>
            <w:u w:color="000000"/>
          </w:rPr>
          <w:t xml:space="preserve"> </w:t>
        </w:r>
        <w:r w:rsidR="00BD165C" w:rsidRPr="005E625F">
          <w:rPr>
            <w:rStyle w:val="Hyperlink"/>
            <w:u w:color="000000"/>
          </w:rPr>
          <w:t>report</w:t>
        </w:r>
        <w:r w:rsidR="00BD165C" w:rsidRPr="005E625F">
          <w:rPr>
            <w:rStyle w:val="Hyperlink"/>
            <w:spacing w:val="-1"/>
            <w:u w:color="000000"/>
          </w:rPr>
          <w:t>i</w:t>
        </w:r>
        <w:r w:rsidR="00BD165C" w:rsidRPr="005E625F">
          <w:rPr>
            <w:rStyle w:val="Hyperlink"/>
            <w:u w:color="000000"/>
          </w:rPr>
          <w:t>ng, tipping-off, internal controls and higher-risk countries (R.23)</w:t>
        </w:r>
        <w:r w:rsidR="00BD165C">
          <w:rPr>
            <w:webHidden/>
          </w:rPr>
          <w:tab/>
        </w:r>
        <w:r w:rsidR="00BD165C">
          <w:rPr>
            <w:webHidden/>
          </w:rPr>
          <w:fldChar w:fldCharType="begin"/>
        </w:r>
        <w:r w:rsidR="00BD165C">
          <w:rPr>
            <w:webHidden/>
          </w:rPr>
          <w:instrText xml:space="preserve"> PAGEREF _Toc1994938 \h </w:instrText>
        </w:r>
        <w:r w:rsidR="00BD165C">
          <w:rPr>
            <w:webHidden/>
          </w:rPr>
        </w:r>
        <w:r w:rsidR="00BD165C">
          <w:rPr>
            <w:webHidden/>
          </w:rPr>
          <w:fldChar w:fldCharType="separate"/>
        </w:r>
        <w:r w:rsidR="00BD165C">
          <w:rPr>
            <w:webHidden/>
          </w:rPr>
          <w:t>30</w:t>
        </w:r>
        <w:r w:rsidR="00BD165C">
          <w:rPr>
            <w:webHidden/>
          </w:rPr>
          <w:fldChar w:fldCharType="end"/>
        </w:r>
      </w:hyperlink>
    </w:p>
    <w:p w14:paraId="433E13C7" w14:textId="0DCF719D" w:rsidR="00BD165C" w:rsidRDefault="00AA0A82">
      <w:pPr>
        <w:pStyle w:val="TOC1"/>
        <w:rPr>
          <w:rFonts w:asciiTheme="minorHAnsi" w:eastAsiaTheme="minorEastAsia" w:hAnsiTheme="minorHAnsi" w:cstheme="minorBidi"/>
          <w:b w:val="0"/>
          <w:szCs w:val="22"/>
          <w:lang w:eastAsia="en-GB"/>
        </w:rPr>
      </w:pPr>
      <w:hyperlink w:anchor="_Toc1994939" w:history="1">
        <w:r w:rsidR="00BD165C" w:rsidRPr="005E625F">
          <w:rPr>
            <w:rStyle w:val="Hyperlink"/>
            <w:lang w:eastAsia="zh-CN"/>
          </w:rPr>
          <w:t xml:space="preserve">4. Section IV – Guidance for </w:t>
        </w:r>
        <w:r w:rsidR="00BD165C" w:rsidRPr="005E625F">
          <w:rPr>
            <w:rStyle w:val="Hyperlink"/>
          </w:rPr>
          <w:t>supervisors</w:t>
        </w:r>
        <w:r w:rsidR="00BD165C">
          <w:rPr>
            <w:webHidden/>
          </w:rPr>
          <w:tab/>
        </w:r>
        <w:r w:rsidR="00BD165C">
          <w:rPr>
            <w:webHidden/>
          </w:rPr>
          <w:fldChar w:fldCharType="begin"/>
        </w:r>
        <w:r w:rsidR="00BD165C">
          <w:rPr>
            <w:webHidden/>
          </w:rPr>
          <w:instrText xml:space="preserve"> PAGEREF _Toc1994939 \h </w:instrText>
        </w:r>
        <w:r w:rsidR="00BD165C">
          <w:rPr>
            <w:webHidden/>
          </w:rPr>
        </w:r>
        <w:r w:rsidR="00BD165C">
          <w:rPr>
            <w:webHidden/>
          </w:rPr>
          <w:fldChar w:fldCharType="separate"/>
        </w:r>
        <w:r w:rsidR="00BD165C">
          <w:rPr>
            <w:webHidden/>
          </w:rPr>
          <w:t>33</w:t>
        </w:r>
        <w:r w:rsidR="00BD165C">
          <w:rPr>
            <w:webHidden/>
          </w:rPr>
          <w:fldChar w:fldCharType="end"/>
        </w:r>
      </w:hyperlink>
    </w:p>
    <w:p w14:paraId="3F899801" w14:textId="3EDDC320" w:rsidR="00BD165C" w:rsidRDefault="00AA0A82">
      <w:pPr>
        <w:pStyle w:val="TOC2"/>
        <w:rPr>
          <w:rFonts w:asciiTheme="minorHAnsi" w:eastAsiaTheme="minorEastAsia" w:hAnsiTheme="minorHAnsi" w:cstheme="minorBidi"/>
          <w:szCs w:val="22"/>
          <w:lang w:eastAsia="en-GB"/>
        </w:rPr>
      </w:pPr>
      <w:hyperlink w:anchor="_Toc1994940" w:history="1">
        <w:r w:rsidR="00BD165C" w:rsidRPr="005E625F">
          <w:rPr>
            <w:rStyle w:val="Hyperlink"/>
          </w:rPr>
          <w:t>4.1. The risk-based approach to supervision</w:t>
        </w:r>
        <w:r w:rsidR="00BD165C">
          <w:rPr>
            <w:webHidden/>
          </w:rPr>
          <w:tab/>
        </w:r>
        <w:r w:rsidR="00BD165C">
          <w:rPr>
            <w:webHidden/>
          </w:rPr>
          <w:fldChar w:fldCharType="begin"/>
        </w:r>
        <w:r w:rsidR="00BD165C">
          <w:rPr>
            <w:webHidden/>
          </w:rPr>
          <w:instrText xml:space="preserve"> PAGEREF _Toc1994940 \h </w:instrText>
        </w:r>
        <w:r w:rsidR="00BD165C">
          <w:rPr>
            <w:webHidden/>
          </w:rPr>
        </w:r>
        <w:r w:rsidR="00BD165C">
          <w:rPr>
            <w:webHidden/>
          </w:rPr>
          <w:fldChar w:fldCharType="separate"/>
        </w:r>
        <w:r w:rsidR="00BD165C">
          <w:rPr>
            <w:webHidden/>
          </w:rPr>
          <w:t>34</w:t>
        </w:r>
        <w:r w:rsidR="00BD165C">
          <w:rPr>
            <w:webHidden/>
          </w:rPr>
          <w:fldChar w:fldCharType="end"/>
        </w:r>
      </w:hyperlink>
    </w:p>
    <w:p w14:paraId="1C99289F" w14:textId="42D610E9" w:rsidR="00BD165C" w:rsidRDefault="00AA0A82">
      <w:pPr>
        <w:pStyle w:val="TOC3"/>
        <w:rPr>
          <w:rFonts w:asciiTheme="minorHAnsi" w:eastAsiaTheme="minorEastAsia" w:hAnsiTheme="minorHAnsi" w:cstheme="minorBidi"/>
          <w:szCs w:val="22"/>
          <w:lang w:eastAsia="en-GB"/>
        </w:rPr>
      </w:pPr>
      <w:hyperlink w:anchor="_Toc1994941" w:history="1">
        <w:r w:rsidR="00BD165C" w:rsidRPr="005E625F">
          <w:rPr>
            <w:rStyle w:val="Hyperlink"/>
            <w:lang w:eastAsia="en-GB"/>
          </w:rPr>
          <w:t xml:space="preserve">4.1.1. Supervisors/SRBs’ role in </w:t>
        </w:r>
        <w:r w:rsidR="00BD165C" w:rsidRPr="005E625F">
          <w:rPr>
            <w:rStyle w:val="Hyperlink"/>
          </w:rPr>
          <w:t>supervision</w:t>
        </w:r>
        <w:r w:rsidR="00BD165C" w:rsidRPr="005E625F">
          <w:rPr>
            <w:rStyle w:val="Hyperlink"/>
            <w:lang w:eastAsia="en-GB"/>
          </w:rPr>
          <w:t xml:space="preserve"> and monitoring</w:t>
        </w:r>
        <w:r w:rsidR="00BD165C">
          <w:rPr>
            <w:webHidden/>
          </w:rPr>
          <w:tab/>
        </w:r>
        <w:r w:rsidR="00BD165C">
          <w:rPr>
            <w:webHidden/>
          </w:rPr>
          <w:fldChar w:fldCharType="begin"/>
        </w:r>
        <w:r w:rsidR="00BD165C">
          <w:rPr>
            <w:webHidden/>
          </w:rPr>
          <w:instrText xml:space="preserve"> PAGEREF _Toc1994941 \h </w:instrText>
        </w:r>
        <w:r w:rsidR="00BD165C">
          <w:rPr>
            <w:webHidden/>
          </w:rPr>
        </w:r>
        <w:r w:rsidR="00BD165C">
          <w:rPr>
            <w:webHidden/>
          </w:rPr>
          <w:fldChar w:fldCharType="separate"/>
        </w:r>
        <w:r w:rsidR="00BD165C">
          <w:rPr>
            <w:webHidden/>
          </w:rPr>
          <w:t>34</w:t>
        </w:r>
        <w:r w:rsidR="00BD165C">
          <w:rPr>
            <w:webHidden/>
          </w:rPr>
          <w:fldChar w:fldCharType="end"/>
        </w:r>
      </w:hyperlink>
    </w:p>
    <w:p w14:paraId="3AB80F77" w14:textId="3A2A172D" w:rsidR="00BD165C" w:rsidRDefault="00AA0A82">
      <w:pPr>
        <w:pStyle w:val="TOC3"/>
        <w:rPr>
          <w:rFonts w:asciiTheme="minorHAnsi" w:eastAsiaTheme="minorEastAsia" w:hAnsiTheme="minorHAnsi" w:cstheme="minorBidi"/>
          <w:szCs w:val="22"/>
          <w:lang w:eastAsia="en-GB"/>
        </w:rPr>
      </w:pPr>
      <w:hyperlink w:anchor="_Toc1994942" w:history="1">
        <w:r w:rsidR="00BD165C" w:rsidRPr="005E625F">
          <w:rPr>
            <w:rStyle w:val="Hyperlink"/>
          </w:rPr>
          <w:t>4.1.2. Understanding ML/TF risk- the role of countries</w:t>
        </w:r>
        <w:r w:rsidR="00BD165C">
          <w:rPr>
            <w:webHidden/>
          </w:rPr>
          <w:tab/>
        </w:r>
        <w:r w:rsidR="00BD165C">
          <w:rPr>
            <w:webHidden/>
          </w:rPr>
          <w:fldChar w:fldCharType="begin"/>
        </w:r>
        <w:r w:rsidR="00BD165C">
          <w:rPr>
            <w:webHidden/>
          </w:rPr>
          <w:instrText xml:space="preserve"> PAGEREF _Toc1994942 \h </w:instrText>
        </w:r>
        <w:r w:rsidR="00BD165C">
          <w:rPr>
            <w:webHidden/>
          </w:rPr>
        </w:r>
        <w:r w:rsidR="00BD165C">
          <w:rPr>
            <w:webHidden/>
          </w:rPr>
          <w:fldChar w:fldCharType="separate"/>
        </w:r>
        <w:r w:rsidR="00BD165C">
          <w:rPr>
            <w:webHidden/>
          </w:rPr>
          <w:t>34</w:t>
        </w:r>
        <w:r w:rsidR="00BD165C">
          <w:rPr>
            <w:webHidden/>
          </w:rPr>
          <w:fldChar w:fldCharType="end"/>
        </w:r>
      </w:hyperlink>
    </w:p>
    <w:p w14:paraId="42360872" w14:textId="6DA1DF1B" w:rsidR="00BD165C" w:rsidRDefault="00AA0A82">
      <w:pPr>
        <w:pStyle w:val="TOC3"/>
        <w:rPr>
          <w:rFonts w:asciiTheme="minorHAnsi" w:eastAsiaTheme="minorEastAsia" w:hAnsiTheme="minorHAnsi" w:cstheme="minorBidi"/>
          <w:szCs w:val="22"/>
          <w:lang w:eastAsia="en-GB"/>
        </w:rPr>
      </w:pPr>
      <w:hyperlink w:anchor="_Toc1994943" w:history="1">
        <w:r w:rsidR="00BD165C" w:rsidRPr="005E625F">
          <w:rPr>
            <w:rStyle w:val="Hyperlink"/>
          </w:rPr>
          <w:t>4.1.3. Mitigating and managing ML/TF risk</w:t>
        </w:r>
        <w:r w:rsidR="00BD165C">
          <w:rPr>
            <w:webHidden/>
          </w:rPr>
          <w:tab/>
        </w:r>
        <w:r w:rsidR="00BD165C">
          <w:rPr>
            <w:webHidden/>
          </w:rPr>
          <w:fldChar w:fldCharType="begin"/>
        </w:r>
        <w:r w:rsidR="00BD165C">
          <w:rPr>
            <w:webHidden/>
          </w:rPr>
          <w:instrText xml:space="preserve"> PAGEREF _Toc1994943 \h </w:instrText>
        </w:r>
        <w:r w:rsidR="00BD165C">
          <w:rPr>
            <w:webHidden/>
          </w:rPr>
        </w:r>
        <w:r w:rsidR="00BD165C">
          <w:rPr>
            <w:webHidden/>
          </w:rPr>
          <w:fldChar w:fldCharType="separate"/>
        </w:r>
        <w:r w:rsidR="00BD165C">
          <w:rPr>
            <w:webHidden/>
          </w:rPr>
          <w:t>36</w:t>
        </w:r>
        <w:r w:rsidR="00BD165C">
          <w:rPr>
            <w:webHidden/>
          </w:rPr>
          <w:fldChar w:fldCharType="end"/>
        </w:r>
      </w:hyperlink>
    </w:p>
    <w:p w14:paraId="2DEECA71" w14:textId="1B6677F0" w:rsidR="00BD165C" w:rsidRDefault="00AA0A82">
      <w:pPr>
        <w:pStyle w:val="TOC2"/>
        <w:rPr>
          <w:rFonts w:asciiTheme="minorHAnsi" w:eastAsiaTheme="minorEastAsia" w:hAnsiTheme="minorHAnsi" w:cstheme="minorBidi"/>
          <w:szCs w:val="22"/>
          <w:lang w:eastAsia="en-GB"/>
        </w:rPr>
      </w:pPr>
      <w:hyperlink w:anchor="_Toc1994944" w:history="1">
        <w:r w:rsidR="00BD165C" w:rsidRPr="005E625F">
          <w:rPr>
            <w:rStyle w:val="Hyperlink"/>
            <w:lang w:val="en-US"/>
          </w:rPr>
          <w:t>4.2. Supervision of the RBA</w:t>
        </w:r>
        <w:r w:rsidR="00BD165C">
          <w:rPr>
            <w:webHidden/>
          </w:rPr>
          <w:tab/>
        </w:r>
        <w:r w:rsidR="00BD165C">
          <w:rPr>
            <w:webHidden/>
          </w:rPr>
          <w:fldChar w:fldCharType="begin"/>
        </w:r>
        <w:r w:rsidR="00BD165C">
          <w:rPr>
            <w:webHidden/>
          </w:rPr>
          <w:instrText xml:space="preserve"> PAGEREF _Toc1994944 \h </w:instrText>
        </w:r>
        <w:r w:rsidR="00BD165C">
          <w:rPr>
            <w:webHidden/>
          </w:rPr>
        </w:r>
        <w:r w:rsidR="00BD165C">
          <w:rPr>
            <w:webHidden/>
          </w:rPr>
          <w:fldChar w:fldCharType="separate"/>
        </w:r>
        <w:r w:rsidR="00BD165C">
          <w:rPr>
            <w:webHidden/>
          </w:rPr>
          <w:t>37</w:t>
        </w:r>
        <w:r w:rsidR="00BD165C">
          <w:rPr>
            <w:webHidden/>
          </w:rPr>
          <w:fldChar w:fldCharType="end"/>
        </w:r>
      </w:hyperlink>
    </w:p>
    <w:p w14:paraId="3CD92066" w14:textId="3E80FF65" w:rsidR="00BD165C" w:rsidRDefault="00AA0A82">
      <w:pPr>
        <w:pStyle w:val="TOC3"/>
        <w:rPr>
          <w:rFonts w:asciiTheme="minorHAnsi" w:eastAsiaTheme="minorEastAsia" w:hAnsiTheme="minorHAnsi" w:cstheme="minorBidi"/>
          <w:szCs w:val="22"/>
          <w:lang w:eastAsia="en-GB"/>
        </w:rPr>
      </w:pPr>
      <w:hyperlink w:anchor="_Toc1994945" w:history="1">
        <w:r w:rsidR="00BD165C" w:rsidRPr="005E625F">
          <w:rPr>
            <w:rStyle w:val="Hyperlink"/>
          </w:rPr>
          <w:t>4.2.1. Licensing or registration</w:t>
        </w:r>
        <w:r w:rsidR="00BD165C">
          <w:rPr>
            <w:webHidden/>
          </w:rPr>
          <w:tab/>
        </w:r>
        <w:r w:rsidR="00BD165C">
          <w:rPr>
            <w:webHidden/>
          </w:rPr>
          <w:fldChar w:fldCharType="begin"/>
        </w:r>
        <w:r w:rsidR="00BD165C">
          <w:rPr>
            <w:webHidden/>
          </w:rPr>
          <w:instrText xml:space="preserve"> PAGEREF _Toc1994945 \h </w:instrText>
        </w:r>
        <w:r w:rsidR="00BD165C">
          <w:rPr>
            <w:webHidden/>
          </w:rPr>
        </w:r>
        <w:r w:rsidR="00BD165C">
          <w:rPr>
            <w:webHidden/>
          </w:rPr>
          <w:fldChar w:fldCharType="separate"/>
        </w:r>
        <w:r w:rsidR="00BD165C">
          <w:rPr>
            <w:webHidden/>
          </w:rPr>
          <w:t>37</w:t>
        </w:r>
        <w:r w:rsidR="00BD165C">
          <w:rPr>
            <w:webHidden/>
          </w:rPr>
          <w:fldChar w:fldCharType="end"/>
        </w:r>
      </w:hyperlink>
    </w:p>
    <w:p w14:paraId="70BCD09A" w14:textId="18E48240" w:rsidR="00BD165C" w:rsidRDefault="00AA0A82">
      <w:pPr>
        <w:pStyle w:val="TOC3"/>
        <w:rPr>
          <w:rFonts w:asciiTheme="minorHAnsi" w:eastAsiaTheme="minorEastAsia" w:hAnsiTheme="minorHAnsi" w:cstheme="minorBidi"/>
          <w:szCs w:val="22"/>
          <w:lang w:eastAsia="en-GB"/>
        </w:rPr>
      </w:pPr>
      <w:hyperlink w:anchor="_Toc1994946" w:history="1">
        <w:r w:rsidR="00BD165C" w:rsidRPr="005E625F">
          <w:rPr>
            <w:rStyle w:val="Hyperlink"/>
          </w:rPr>
          <w:t>4.2.2. Monitoring and supervision</w:t>
        </w:r>
        <w:r w:rsidR="00BD165C">
          <w:rPr>
            <w:webHidden/>
          </w:rPr>
          <w:tab/>
        </w:r>
        <w:r w:rsidR="00BD165C">
          <w:rPr>
            <w:webHidden/>
          </w:rPr>
          <w:fldChar w:fldCharType="begin"/>
        </w:r>
        <w:r w:rsidR="00BD165C">
          <w:rPr>
            <w:webHidden/>
          </w:rPr>
          <w:instrText xml:space="preserve"> PAGEREF _Toc1994946 \h </w:instrText>
        </w:r>
        <w:r w:rsidR="00BD165C">
          <w:rPr>
            <w:webHidden/>
          </w:rPr>
        </w:r>
        <w:r w:rsidR="00BD165C">
          <w:rPr>
            <w:webHidden/>
          </w:rPr>
          <w:fldChar w:fldCharType="separate"/>
        </w:r>
        <w:r w:rsidR="00BD165C">
          <w:rPr>
            <w:webHidden/>
          </w:rPr>
          <w:t>39</w:t>
        </w:r>
        <w:r w:rsidR="00BD165C">
          <w:rPr>
            <w:webHidden/>
          </w:rPr>
          <w:fldChar w:fldCharType="end"/>
        </w:r>
      </w:hyperlink>
    </w:p>
    <w:p w14:paraId="169BA533" w14:textId="78D9F276" w:rsidR="00BD165C" w:rsidRDefault="00AA0A82">
      <w:pPr>
        <w:pStyle w:val="TOC3"/>
        <w:rPr>
          <w:rFonts w:asciiTheme="minorHAnsi" w:eastAsiaTheme="minorEastAsia" w:hAnsiTheme="minorHAnsi" w:cstheme="minorBidi"/>
          <w:szCs w:val="22"/>
          <w:lang w:eastAsia="en-GB"/>
        </w:rPr>
      </w:pPr>
      <w:hyperlink w:anchor="_Toc1994947" w:history="1">
        <w:r w:rsidR="00BD165C" w:rsidRPr="005E625F">
          <w:rPr>
            <w:rStyle w:val="Hyperlink"/>
          </w:rPr>
          <w:t>4.2.3. Enforcement</w:t>
        </w:r>
        <w:r w:rsidR="00BD165C">
          <w:rPr>
            <w:webHidden/>
          </w:rPr>
          <w:tab/>
        </w:r>
        <w:r w:rsidR="00BD165C">
          <w:rPr>
            <w:webHidden/>
          </w:rPr>
          <w:fldChar w:fldCharType="begin"/>
        </w:r>
        <w:r w:rsidR="00BD165C">
          <w:rPr>
            <w:webHidden/>
          </w:rPr>
          <w:instrText xml:space="preserve"> PAGEREF _Toc1994947 \h </w:instrText>
        </w:r>
        <w:r w:rsidR="00BD165C">
          <w:rPr>
            <w:webHidden/>
          </w:rPr>
        </w:r>
        <w:r w:rsidR="00BD165C">
          <w:rPr>
            <w:webHidden/>
          </w:rPr>
          <w:fldChar w:fldCharType="separate"/>
        </w:r>
        <w:r w:rsidR="00BD165C">
          <w:rPr>
            <w:webHidden/>
          </w:rPr>
          <w:t>40</w:t>
        </w:r>
        <w:r w:rsidR="00BD165C">
          <w:rPr>
            <w:webHidden/>
          </w:rPr>
          <w:fldChar w:fldCharType="end"/>
        </w:r>
      </w:hyperlink>
    </w:p>
    <w:p w14:paraId="6C1D55BD" w14:textId="0755D858" w:rsidR="00BD165C" w:rsidRDefault="00AA0A82">
      <w:pPr>
        <w:pStyle w:val="TOC3"/>
        <w:rPr>
          <w:rFonts w:asciiTheme="minorHAnsi" w:eastAsiaTheme="minorEastAsia" w:hAnsiTheme="minorHAnsi" w:cstheme="minorBidi"/>
          <w:szCs w:val="22"/>
          <w:lang w:eastAsia="en-GB"/>
        </w:rPr>
      </w:pPr>
      <w:hyperlink w:anchor="_Toc1994948" w:history="1">
        <w:r w:rsidR="00BD165C" w:rsidRPr="005E625F">
          <w:rPr>
            <w:rStyle w:val="Hyperlink"/>
          </w:rPr>
          <w:t>4.2.4. Guidance</w:t>
        </w:r>
        <w:r w:rsidR="00BD165C">
          <w:rPr>
            <w:webHidden/>
          </w:rPr>
          <w:tab/>
        </w:r>
        <w:r w:rsidR="00BD165C">
          <w:rPr>
            <w:webHidden/>
          </w:rPr>
          <w:fldChar w:fldCharType="begin"/>
        </w:r>
        <w:r w:rsidR="00BD165C">
          <w:rPr>
            <w:webHidden/>
          </w:rPr>
          <w:instrText xml:space="preserve"> PAGEREF _Toc1994948 \h </w:instrText>
        </w:r>
        <w:r w:rsidR="00BD165C">
          <w:rPr>
            <w:webHidden/>
          </w:rPr>
        </w:r>
        <w:r w:rsidR="00BD165C">
          <w:rPr>
            <w:webHidden/>
          </w:rPr>
          <w:fldChar w:fldCharType="separate"/>
        </w:r>
        <w:r w:rsidR="00BD165C">
          <w:rPr>
            <w:webHidden/>
          </w:rPr>
          <w:t>41</w:t>
        </w:r>
        <w:r w:rsidR="00BD165C">
          <w:rPr>
            <w:webHidden/>
          </w:rPr>
          <w:fldChar w:fldCharType="end"/>
        </w:r>
      </w:hyperlink>
    </w:p>
    <w:p w14:paraId="3C6F270D" w14:textId="44A3D804" w:rsidR="00BD165C" w:rsidRDefault="00AA0A82">
      <w:pPr>
        <w:pStyle w:val="TOC3"/>
        <w:rPr>
          <w:rFonts w:asciiTheme="minorHAnsi" w:eastAsiaTheme="minorEastAsia" w:hAnsiTheme="minorHAnsi" w:cstheme="minorBidi"/>
          <w:szCs w:val="22"/>
          <w:lang w:eastAsia="en-GB"/>
        </w:rPr>
      </w:pPr>
      <w:hyperlink w:anchor="_Toc1994949" w:history="1">
        <w:r w:rsidR="00BD165C" w:rsidRPr="005E625F">
          <w:rPr>
            <w:rStyle w:val="Hyperlink"/>
            <w:lang w:val="en-US"/>
          </w:rPr>
          <w:t>4.2.5.</w:t>
        </w:r>
        <w:r w:rsidR="00BD165C" w:rsidRPr="005E625F">
          <w:rPr>
            <w:rStyle w:val="Hyperlink"/>
          </w:rPr>
          <w:t xml:space="preserve"> Training</w:t>
        </w:r>
        <w:r w:rsidR="00BD165C">
          <w:rPr>
            <w:webHidden/>
          </w:rPr>
          <w:tab/>
        </w:r>
        <w:r w:rsidR="00BD165C">
          <w:rPr>
            <w:webHidden/>
          </w:rPr>
          <w:fldChar w:fldCharType="begin"/>
        </w:r>
        <w:r w:rsidR="00BD165C">
          <w:rPr>
            <w:webHidden/>
          </w:rPr>
          <w:instrText xml:space="preserve"> PAGEREF _Toc1994949 \h </w:instrText>
        </w:r>
        <w:r w:rsidR="00BD165C">
          <w:rPr>
            <w:webHidden/>
          </w:rPr>
        </w:r>
        <w:r w:rsidR="00BD165C">
          <w:rPr>
            <w:webHidden/>
          </w:rPr>
          <w:fldChar w:fldCharType="separate"/>
        </w:r>
        <w:r w:rsidR="00BD165C">
          <w:rPr>
            <w:webHidden/>
          </w:rPr>
          <w:t>42</w:t>
        </w:r>
        <w:r w:rsidR="00BD165C">
          <w:rPr>
            <w:webHidden/>
          </w:rPr>
          <w:fldChar w:fldCharType="end"/>
        </w:r>
      </w:hyperlink>
    </w:p>
    <w:p w14:paraId="0F39ED13" w14:textId="21DB8875" w:rsidR="00BD165C" w:rsidRDefault="00AA0A82">
      <w:pPr>
        <w:pStyle w:val="TOC3"/>
        <w:rPr>
          <w:rFonts w:asciiTheme="minorHAnsi" w:eastAsiaTheme="minorEastAsia" w:hAnsiTheme="minorHAnsi" w:cstheme="minorBidi"/>
          <w:szCs w:val="22"/>
          <w:lang w:eastAsia="en-GB"/>
        </w:rPr>
      </w:pPr>
      <w:hyperlink w:anchor="_Toc1994950" w:history="1">
        <w:r w:rsidR="00BD165C" w:rsidRPr="005E625F">
          <w:rPr>
            <w:rStyle w:val="Hyperlink"/>
          </w:rPr>
          <w:t>4.2.6. Endorsements</w:t>
        </w:r>
        <w:r w:rsidR="00BD165C">
          <w:rPr>
            <w:webHidden/>
          </w:rPr>
          <w:tab/>
        </w:r>
        <w:r w:rsidR="00BD165C">
          <w:rPr>
            <w:webHidden/>
          </w:rPr>
          <w:fldChar w:fldCharType="begin"/>
        </w:r>
        <w:r w:rsidR="00BD165C">
          <w:rPr>
            <w:webHidden/>
          </w:rPr>
          <w:instrText xml:space="preserve"> PAGEREF _Toc1994950 \h </w:instrText>
        </w:r>
        <w:r w:rsidR="00BD165C">
          <w:rPr>
            <w:webHidden/>
          </w:rPr>
        </w:r>
        <w:r w:rsidR="00BD165C">
          <w:rPr>
            <w:webHidden/>
          </w:rPr>
          <w:fldChar w:fldCharType="separate"/>
        </w:r>
        <w:r w:rsidR="00BD165C">
          <w:rPr>
            <w:webHidden/>
          </w:rPr>
          <w:t>42</w:t>
        </w:r>
        <w:r w:rsidR="00BD165C">
          <w:rPr>
            <w:webHidden/>
          </w:rPr>
          <w:fldChar w:fldCharType="end"/>
        </w:r>
      </w:hyperlink>
    </w:p>
    <w:p w14:paraId="3C48B317" w14:textId="0EF7EB4D" w:rsidR="00BD165C" w:rsidRDefault="00AA0A82">
      <w:pPr>
        <w:pStyle w:val="TOC3"/>
        <w:rPr>
          <w:rFonts w:asciiTheme="minorHAnsi" w:eastAsiaTheme="minorEastAsia" w:hAnsiTheme="minorHAnsi" w:cstheme="minorBidi"/>
          <w:szCs w:val="22"/>
          <w:lang w:eastAsia="en-GB"/>
        </w:rPr>
      </w:pPr>
      <w:hyperlink w:anchor="_Toc1994951" w:history="1">
        <w:r w:rsidR="00BD165C" w:rsidRPr="005E625F">
          <w:rPr>
            <w:rStyle w:val="Hyperlink"/>
          </w:rPr>
          <w:t>4.2.7. Information exchange</w:t>
        </w:r>
        <w:r w:rsidR="00BD165C">
          <w:rPr>
            <w:webHidden/>
          </w:rPr>
          <w:tab/>
        </w:r>
        <w:r w:rsidR="00BD165C">
          <w:rPr>
            <w:webHidden/>
          </w:rPr>
          <w:fldChar w:fldCharType="begin"/>
        </w:r>
        <w:r w:rsidR="00BD165C">
          <w:rPr>
            <w:webHidden/>
          </w:rPr>
          <w:instrText xml:space="preserve"> PAGEREF _Toc1994951 \h </w:instrText>
        </w:r>
        <w:r w:rsidR="00BD165C">
          <w:rPr>
            <w:webHidden/>
          </w:rPr>
        </w:r>
        <w:r w:rsidR="00BD165C">
          <w:rPr>
            <w:webHidden/>
          </w:rPr>
          <w:fldChar w:fldCharType="separate"/>
        </w:r>
        <w:r w:rsidR="00BD165C">
          <w:rPr>
            <w:webHidden/>
          </w:rPr>
          <w:t>42</w:t>
        </w:r>
        <w:r w:rsidR="00BD165C">
          <w:rPr>
            <w:webHidden/>
          </w:rPr>
          <w:fldChar w:fldCharType="end"/>
        </w:r>
      </w:hyperlink>
    </w:p>
    <w:p w14:paraId="4C0B543E" w14:textId="4D1F723A" w:rsidR="00BD165C" w:rsidRDefault="00AA0A82">
      <w:pPr>
        <w:pStyle w:val="TOC2"/>
        <w:rPr>
          <w:rFonts w:asciiTheme="minorHAnsi" w:eastAsiaTheme="minorEastAsia" w:hAnsiTheme="minorHAnsi" w:cstheme="minorBidi"/>
          <w:szCs w:val="22"/>
          <w:lang w:eastAsia="en-GB"/>
        </w:rPr>
      </w:pPr>
      <w:hyperlink w:anchor="_Toc1994952" w:history="1">
        <w:r w:rsidR="00BD165C" w:rsidRPr="005E625F">
          <w:rPr>
            <w:rStyle w:val="Hyperlink"/>
          </w:rPr>
          <w:t>4.3. Supervision of beneficial ownership requirements and source of funds/wealth requirements</w:t>
        </w:r>
        <w:r w:rsidR="00BD165C">
          <w:rPr>
            <w:webHidden/>
          </w:rPr>
          <w:tab/>
        </w:r>
        <w:r w:rsidR="00BD165C">
          <w:rPr>
            <w:webHidden/>
          </w:rPr>
          <w:fldChar w:fldCharType="begin"/>
        </w:r>
        <w:r w:rsidR="00BD165C">
          <w:rPr>
            <w:webHidden/>
          </w:rPr>
          <w:instrText xml:space="preserve"> PAGEREF _Toc1994952 \h </w:instrText>
        </w:r>
        <w:r w:rsidR="00BD165C">
          <w:rPr>
            <w:webHidden/>
          </w:rPr>
        </w:r>
        <w:r w:rsidR="00BD165C">
          <w:rPr>
            <w:webHidden/>
          </w:rPr>
          <w:fldChar w:fldCharType="separate"/>
        </w:r>
        <w:r w:rsidR="00BD165C">
          <w:rPr>
            <w:webHidden/>
          </w:rPr>
          <w:t>43</w:t>
        </w:r>
        <w:r w:rsidR="00BD165C">
          <w:rPr>
            <w:webHidden/>
          </w:rPr>
          <w:fldChar w:fldCharType="end"/>
        </w:r>
      </w:hyperlink>
    </w:p>
    <w:p w14:paraId="69ABB506" w14:textId="27DC2121" w:rsidR="00BD165C" w:rsidRDefault="00AA0A82">
      <w:pPr>
        <w:pStyle w:val="TOC2"/>
        <w:rPr>
          <w:rFonts w:asciiTheme="minorHAnsi" w:eastAsiaTheme="minorEastAsia" w:hAnsiTheme="minorHAnsi" w:cstheme="minorBidi"/>
          <w:szCs w:val="22"/>
          <w:lang w:eastAsia="en-GB"/>
        </w:rPr>
      </w:pPr>
      <w:hyperlink w:anchor="_Toc1994953" w:history="1">
        <w:r w:rsidR="00BD165C" w:rsidRPr="005E625F">
          <w:rPr>
            <w:rStyle w:val="Hyperlink"/>
          </w:rPr>
          <w:t>4.4. Nominee arrangements</w:t>
        </w:r>
        <w:r w:rsidR="00BD165C">
          <w:rPr>
            <w:webHidden/>
          </w:rPr>
          <w:tab/>
        </w:r>
        <w:r w:rsidR="00BD165C">
          <w:rPr>
            <w:webHidden/>
          </w:rPr>
          <w:fldChar w:fldCharType="begin"/>
        </w:r>
        <w:r w:rsidR="00BD165C">
          <w:rPr>
            <w:webHidden/>
          </w:rPr>
          <w:instrText xml:space="preserve"> PAGEREF _Toc1994953 \h </w:instrText>
        </w:r>
        <w:r w:rsidR="00BD165C">
          <w:rPr>
            <w:webHidden/>
          </w:rPr>
        </w:r>
        <w:r w:rsidR="00BD165C">
          <w:rPr>
            <w:webHidden/>
          </w:rPr>
          <w:fldChar w:fldCharType="separate"/>
        </w:r>
        <w:r w:rsidR="00BD165C">
          <w:rPr>
            <w:webHidden/>
          </w:rPr>
          <w:t>44</w:t>
        </w:r>
        <w:r w:rsidR="00BD165C">
          <w:rPr>
            <w:webHidden/>
          </w:rPr>
          <w:fldChar w:fldCharType="end"/>
        </w:r>
      </w:hyperlink>
    </w:p>
    <w:p w14:paraId="7B4C9399" w14:textId="4144D316" w:rsidR="00BD165C" w:rsidRDefault="00AA0A82">
      <w:pPr>
        <w:pStyle w:val="TOC1"/>
        <w:rPr>
          <w:rFonts w:asciiTheme="minorHAnsi" w:eastAsiaTheme="minorEastAsia" w:hAnsiTheme="minorHAnsi" w:cstheme="minorBidi"/>
          <w:b w:val="0"/>
          <w:szCs w:val="22"/>
          <w:lang w:eastAsia="en-GB"/>
        </w:rPr>
      </w:pPr>
      <w:hyperlink w:anchor="_Toc1994954" w:history="1">
        <w:r w:rsidR="00BD165C" w:rsidRPr="005E625F">
          <w:rPr>
            <w:rStyle w:val="Hyperlink"/>
          </w:rPr>
          <w:t>ANNEX 1:  Beneficial ownership information in relation to a company, trust or other legal arrangements to whom a TCSP provides services</w:t>
        </w:r>
        <w:r w:rsidR="00BD165C">
          <w:rPr>
            <w:webHidden/>
          </w:rPr>
          <w:tab/>
        </w:r>
        <w:r w:rsidR="00BD165C">
          <w:rPr>
            <w:webHidden/>
          </w:rPr>
          <w:fldChar w:fldCharType="begin"/>
        </w:r>
        <w:r w:rsidR="00BD165C">
          <w:rPr>
            <w:webHidden/>
          </w:rPr>
          <w:instrText xml:space="preserve"> PAGEREF _Toc1994954 \h </w:instrText>
        </w:r>
        <w:r w:rsidR="00BD165C">
          <w:rPr>
            <w:webHidden/>
          </w:rPr>
        </w:r>
        <w:r w:rsidR="00BD165C">
          <w:rPr>
            <w:webHidden/>
          </w:rPr>
          <w:fldChar w:fldCharType="separate"/>
        </w:r>
        <w:r w:rsidR="00BD165C">
          <w:rPr>
            <w:webHidden/>
          </w:rPr>
          <w:t>47</w:t>
        </w:r>
        <w:r w:rsidR="00BD165C">
          <w:rPr>
            <w:webHidden/>
          </w:rPr>
          <w:fldChar w:fldCharType="end"/>
        </w:r>
      </w:hyperlink>
    </w:p>
    <w:p w14:paraId="43C74E6A" w14:textId="27CCF8AB" w:rsidR="00BD165C" w:rsidRDefault="00AA0A82">
      <w:pPr>
        <w:pStyle w:val="TOC1"/>
        <w:rPr>
          <w:rFonts w:asciiTheme="minorHAnsi" w:eastAsiaTheme="minorEastAsia" w:hAnsiTheme="minorHAnsi" w:cstheme="minorBidi"/>
          <w:b w:val="0"/>
          <w:szCs w:val="22"/>
          <w:lang w:eastAsia="en-GB"/>
        </w:rPr>
      </w:pPr>
      <w:hyperlink w:anchor="_Toc1994955" w:history="1">
        <w:r w:rsidR="00BD165C" w:rsidRPr="005E625F">
          <w:rPr>
            <w:rStyle w:val="Hyperlink"/>
          </w:rPr>
          <w:t>ANNEX 2: Glossary of terminology</w:t>
        </w:r>
        <w:r w:rsidR="00BD165C">
          <w:rPr>
            <w:webHidden/>
          </w:rPr>
          <w:tab/>
        </w:r>
        <w:r w:rsidR="00BD165C">
          <w:rPr>
            <w:webHidden/>
          </w:rPr>
          <w:fldChar w:fldCharType="begin"/>
        </w:r>
        <w:r w:rsidR="00BD165C">
          <w:rPr>
            <w:webHidden/>
          </w:rPr>
          <w:instrText xml:space="preserve"> PAGEREF _Toc1994955 \h </w:instrText>
        </w:r>
        <w:r w:rsidR="00BD165C">
          <w:rPr>
            <w:webHidden/>
          </w:rPr>
        </w:r>
        <w:r w:rsidR="00BD165C">
          <w:rPr>
            <w:webHidden/>
          </w:rPr>
          <w:fldChar w:fldCharType="separate"/>
        </w:r>
        <w:r w:rsidR="00BD165C">
          <w:rPr>
            <w:webHidden/>
          </w:rPr>
          <w:t>51</w:t>
        </w:r>
        <w:r w:rsidR="00BD165C">
          <w:rPr>
            <w:webHidden/>
          </w:rPr>
          <w:fldChar w:fldCharType="end"/>
        </w:r>
      </w:hyperlink>
    </w:p>
    <w:p w14:paraId="50181FD5" w14:textId="700F399B" w:rsidR="00BD165C" w:rsidRDefault="00AA0A82">
      <w:pPr>
        <w:pStyle w:val="TOC1"/>
        <w:rPr>
          <w:rFonts w:asciiTheme="minorHAnsi" w:eastAsiaTheme="minorEastAsia" w:hAnsiTheme="minorHAnsi" w:cstheme="minorBidi"/>
          <w:b w:val="0"/>
          <w:szCs w:val="22"/>
          <w:lang w:eastAsia="en-GB"/>
        </w:rPr>
      </w:pPr>
      <w:hyperlink w:anchor="_Toc1994956" w:history="1">
        <w:r w:rsidR="00BD165C" w:rsidRPr="005E625F">
          <w:rPr>
            <w:rStyle w:val="Hyperlink"/>
          </w:rPr>
          <w:t>ANNEX 3: Members of the RBA Drafting Group</w:t>
        </w:r>
        <w:r w:rsidR="00BD165C">
          <w:rPr>
            <w:webHidden/>
          </w:rPr>
          <w:tab/>
        </w:r>
        <w:r w:rsidR="00BD165C">
          <w:rPr>
            <w:webHidden/>
          </w:rPr>
          <w:fldChar w:fldCharType="begin"/>
        </w:r>
        <w:r w:rsidR="00BD165C">
          <w:rPr>
            <w:webHidden/>
          </w:rPr>
          <w:instrText xml:space="preserve"> PAGEREF _Toc1994956 \h </w:instrText>
        </w:r>
        <w:r w:rsidR="00BD165C">
          <w:rPr>
            <w:webHidden/>
          </w:rPr>
        </w:r>
        <w:r w:rsidR="00BD165C">
          <w:rPr>
            <w:webHidden/>
          </w:rPr>
          <w:fldChar w:fldCharType="separate"/>
        </w:r>
        <w:r w:rsidR="00BD165C">
          <w:rPr>
            <w:webHidden/>
          </w:rPr>
          <w:t>54</w:t>
        </w:r>
        <w:r w:rsidR="00BD165C">
          <w:rPr>
            <w:webHidden/>
          </w:rPr>
          <w:fldChar w:fldCharType="end"/>
        </w:r>
      </w:hyperlink>
    </w:p>
    <w:p w14:paraId="0C011E11" w14:textId="75099E2A" w:rsidR="00C7660A" w:rsidRDefault="004B0E8B" w:rsidP="008A4746">
      <w:pPr>
        <w:pStyle w:val="Title"/>
        <w:spacing w:after="480"/>
        <w:ind w:left="0"/>
      </w:pPr>
      <w:r>
        <w:fldChar w:fldCharType="end"/>
      </w:r>
      <w:bookmarkStart w:id="5" w:name="_Toc525561722"/>
      <w:bookmarkStart w:id="6" w:name="_Toc525562417"/>
      <w:bookmarkEnd w:id="3"/>
      <w:bookmarkEnd w:id="2"/>
      <w:bookmarkEnd w:id="1"/>
      <w:bookmarkEnd w:id="0"/>
      <w:r w:rsidR="00A25727">
        <w:t xml:space="preserve"> </w:t>
      </w:r>
      <w:r w:rsidR="00C7660A">
        <w:br w:type="page"/>
      </w:r>
      <w:bookmarkStart w:id="7" w:name="_Toc1994904"/>
      <w:r w:rsidR="00C7660A" w:rsidRPr="006565D7">
        <w:lastRenderedPageBreak/>
        <w:t xml:space="preserve">DRAFT RISK-BASED APPROACH GUIDANCE FOR </w:t>
      </w:r>
      <w:r w:rsidR="00C7660A">
        <w:t>TRUST AND COMPANY SERVICE PROVIDERS (TCSP)</w:t>
      </w:r>
      <w:bookmarkEnd w:id="7"/>
    </w:p>
    <w:p w14:paraId="6E64B50C" w14:textId="6E331DFA" w:rsidR="0098261F" w:rsidRPr="006565D7" w:rsidRDefault="00E322B1" w:rsidP="0098261F">
      <w:pPr>
        <w:pStyle w:val="Title2"/>
        <w:jc w:val="center"/>
      </w:pPr>
      <w:bookmarkStart w:id="8" w:name="_Toc525561724"/>
      <w:bookmarkStart w:id="9" w:name="_Toc525562418"/>
      <w:bookmarkStart w:id="10" w:name="_Toc1994905"/>
      <w:bookmarkEnd w:id="5"/>
      <w:bookmarkEnd w:id="6"/>
      <w:r w:rsidRPr="006565D7">
        <w:t xml:space="preserve">Table </w:t>
      </w:r>
      <w:r>
        <w:t>o</w:t>
      </w:r>
      <w:r w:rsidRPr="006565D7">
        <w:t xml:space="preserve">f </w:t>
      </w:r>
      <w:r>
        <w:t>a</w:t>
      </w:r>
      <w:r w:rsidRPr="006565D7">
        <w:t>cronyms</w:t>
      </w:r>
      <w:bookmarkEnd w:id="8"/>
      <w:bookmarkEnd w:id="9"/>
      <w:bookmarkEnd w:id="10"/>
    </w:p>
    <w:tbl>
      <w:tblPr>
        <w:tblStyle w:val="OECD"/>
        <w:tblW w:w="0" w:type="auto"/>
        <w:tblLayout w:type="fixed"/>
        <w:tblLook w:val="04A0" w:firstRow="1" w:lastRow="0" w:firstColumn="1" w:lastColumn="0" w:noHBand="0" w:noVBand="1"/>
      </w:tblPr>
      <w:tblGrid>
        <w:gridCol w:w="1270"/>
        <w:gridCol w:w="5800"/>
      </w:tblGrid>
      <w:tr w:rsidR="00C750F6" w:rsidRPr="00D62820" w14:paraId="07F83A66" w14:textId="77777777" w:rsidTr="001F0739">
        <w:trPr>
          <w:cnfStyle w:val="100000000000" w:firstRow="1" w:lastRow="0" w:firstColumn="0" w:lastColumn="0" w:oddVBand="0" w:evenVBand="0" w:oddHBand="0"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70" w:type="dxa"/>
          </w:tcPr>
          <w:p w14:paraId="6EE80FF2" w14:textId="77777777" w:rsidR="00C750F6" w:rsidRPr="00BA1465" w:rsidRDefault="00C750F6" w:rsidP="00D62820">
            <w:pPr>
              <w:pStyle w:val="TableRow"/>
              <w:rPr>
                <w:b/>
                <w:sz w:val="20"/>
                <w:szCs w:val="24"/>
              </w:rPr>
            </w:pPr>
            <w:r w:rsidRPr="00BA1465">
              <w:rPr>
                <w:b/>
                <w:sz w:val="20"/>
                <w:szCs w:val="24"/>
              </w:rPr>
              <w:t>AML/CFT</w:t>
            </w:r>
          </w:p>
        </w:tc>
        <w:tc>
          <w:tcPr>
            <w:tcW w:w="5800" w:type="dxa"/>
          </w:tcPr>
          <w:p w14:paraId="618A0BEC" w14:textId="77777777" w:rsidR="00C750F6" w:rsidRPr="00BA1465" w:rsidRDefault="00C750F6" w:rsidP="00D62820">
            <w:pPr>
              <w:pStyle w:val="TableRow"/>
              <w:cnfStyle w:val="100000000000" w:firstRow="1" w:lastRow="0" w:firstColumn="0" w:lastColumn="0" w:oddVBand="0" w:evenVBand="0" w:oddHBand="0" w:evenHBand="0" w:firstRowFirstColumn="0" w:firstRowLastColumn="0" w:lastRowFirstColumn="0" w:lastRowLastColumn="0"/>
              <w:rPr>
                <w:sz w:val="20"/>
                <w:szCs w:val="24"/>
              </w:rPr>
            </w:pPr>
            <w:r w:rsidRPr="00BA1465">
              <w:rPr>
                <w:sz w:val="20"/>
                <w:szCs w:val="24"/>
              </w:rPr>
              <w:t>Anti-money laundering/Countering the financing of terrorism</w:t>
            </w:r>
          </w:p>
        </w:tc>
      </w:tr>
      <w:tr w:rsidR="00C750F6" w:rsidRPr="00D62820" w14:paraId="70061ECF" w14:textId="77777777" w:rsidTr="00D628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58E5107A" w14:textId="77777777" w:rsidR="00C750F6" w:rsidRPr="00BA1465" w:rsidRDefault="00C750F6" w:rsidP="00D62820">
            <w:pPr>
              <w:pStyle w:val="TableRow"/>
              <w:rPr>
                <w:b/>
                <w:sz w:val="20"/>
                <w:szCs w:val="24"/>
              </w:rPr>
            </w:pPr>
            <w:r w:rsidRPr="00BA1465">
              <w:rPr>
                <w:b/>
                <w:sz w:val="20"/>
                <w:szCs w:val="24"/>
              </w:rPr>
              <w:t>CDD</w:t>
            </w:r>
          </w:p>
        </w:tc>
        <w:tc>
          <w:tcPr>
            <w:tcW w:w="5800" w:type="dxa"/>
          </w:tcPr>
          <w:p w14:paraId="66B605B7" w14:textId="69060AB1" w:rsidR="00C750F6" w:rsidRPr="00BA1465" w:rsidRDefault="00C750F6" w:rsidP="00D62820">
            <w:pPr>
              <w:pStyle w:val="TableRow"/>
              <w:cnfStyle w:val="000000100000" w:firstRow="0" w:lastRow="0" w:firstColumn="0" w:lastColumn="0" w:oddVBand="0" w:evenVBand="0" w:oddHBand="1" w:evenHBand="0" w:firstRowFirstColumn="0" w:firstRowLastColumn="0" w:lastRowFirstColumn="0" w:lastRowLastColumn="0"/>
              <w:rPr>
                <w:sz w:val="20"/>
                <w:szCs w:val="24"/>
              </w:rPr>
            </w:pPr>
            <w:r w:rsidRPr="00BA1465">
              <w:rPr>
                <w:sz w:val="20"/>
                <w:szCs w:val="24"/>
              </w:rPr>
              <w:t>Client</w:t>
            </w:r>
            <w:r w:rsidR="00D62820" w:rsidRPr="00BA1465">
              <w:rPr>
                <w:rStyle w:val="FootnoteReference"/>
                <w:sz w:val="20"/>
                <w:szCs w:val="24"/>
              </w:rPr>
              <w:footnoteReference w:id="2"/>
            </w:r>
            <w:r w:rsidRPr="00BA1465">
              <w:rPr>
                <w:sz w:val="20"/>
                <w:szCs w:val="24"/>
              </w:rPr>
              <w:t xml:space="preserve"> due diligence</w:t>
            </w:r>
          </w:p>
        </w:tc>
      </w:tr>
      <w:tr w:rsidR="00C750F6" w:rsidRPr="00D62820" w14:paraId="066686F9" w14:textId="77777777" w:rsidTr="00D6282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35D8E987" w14:textId="77777777" w:rsidR="00C750F6" w:rsidRPr="00BA1465" w:rsidRDefault="00C750F6" w:rsidP="00D62820">
            <w:pPr>
              <w:pStyle w:val="TableRow"/>
              <w:rPr>
                <w:b/>
                <w:sz w:val="20"/>
                <w:szCs w:val="24"/>
              </w:rPr>
            </w:pPr>
            <w:r w:rsidRPr="00BA1465">
              <w:rPr>
                <w:b/>
                <w:sz w:val="20"/>
                <w:szCs w:val="24"/>
              </w:rPr>
              <w:t>DNFBP</w:t>
            </w:r>
          </w:p>
          <w:p w14:paraId="5D83C379" w14:textId="77777777" w:rsidR="00C750F6" w:rsidRPr="00BA1465" w:rsidRDefault="00C750F6" w:rsidP="00D62820">
            <w:pPr>
              <w:pStyle w:val="TableRow"/>
              <w:rPr>
                <w:b/>
                <w:sz w:val="20"/>
                <w:szCs w:val="24"/>
              </w:rPr>
            </w:pPr>
            <w:r w:rsidRPr="00BA1465">
              <w:rPr>
                <w:b/>
                <w:sz w:val="20"/>
                <w:szCs w:val="24"/>
              </w:rPr>
              <w:t>FIU</w:t>
            </w:r>
          </w:p>
        </w:tc>
        <w:tc>
          <w:tcPr>
            <w:tcW w:w="5800" w:type="dxa"/>
          </w:tcPr>
          <w:p w14:paraId="22EED439" w14:textId="77777777" w:rsidR="00C750F6" w:rsidRPr="00BA1465" w:rsidRDefault="00C750F6" w:rsidP="00D62820">
            <w:pPr>
              <w:pStyle w:val="TableRow"/>
              <w:cnfStyle w:val="000000010000" w:firstRow="0" w:lastRow="0" w:firstColumn="0" w:lastColumn="0" w:oddVBand="0" w:evenVBand="0" w:oddHBand="0" w:evenHBand="1" w:firstRowFirstColumn="0" w:firstRowLastColumn="0" w:lastRowFirstColumn="0" w:lastRowLastColumn="0"/>
              <w:rPr>
                <w:sz w:val="20"/>
                <w:szCs w:val="24"/>
              </w:rPr>
            </w:pPr>
            <w:r w:rsidRPr="00BA1465">
              <w:rPr>
                <w:sz w:val="20"/>
                <w:szCs w:val="24"/>
              </w:rPr>
              <w:t>Designated non-financial businesses and professions</w:t>
            </w:r>
          </w:p>
          <w:p w14:paraId="3F504B53" w14:textId="77777777" w:rsidR="00C750F6" w:rsidRPr="00BA1465" w:rsidRDefault="00C750F6" w:rsidP="00D62820">
            <w:pPr>
              <w:pStyle w:val="TableRow"/>
              <w:cnfStyle w:val="000000010000" w:firstRow="0" w:lastRow="0" w:firstColumn="0" w:lastColumn="0" w:oddVBand="0" w:evenVBand="0" w:oddHBand="0" w:evenHBand="1" w:firstRowFirstColumn="0" w:firstRowLastColumn="0" w:lastRowFirstColumn="0" w:lastRowLastColumn="0"/>
              <w:rPr>
                <w:sz w:val="20"/>
                <w:szCs w:val="24"/>
              </w:rPr>
            </w:pPr>
            <w:r w:rsidRPr="00BA1465">
              <w:rPr>
                <w:sz w:val="20"/>
                <w:szCs w:val="24"/>
              </w:rPr>
              <w:t>Financial intelligence unit</w:t>
            </w:r>
          </w:p>
        </w:tc>
      </w:tr>
      <w:tr w:rsidR="00C750F6" w:rsidRPr="00D62820" w14:paraId="0981E317" w14:textId="77777777" w:rsidTr="00D628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2654AD70" w14:textId="77777777" w:rsidR="00C750F6" w:rsidRPr="00BA1465" w:rsidRDefault="00C750F6" w:rsidP="00D62820">
            <w:pPr>
              <w:pStyle w:val="TableRow"/>
              <w:rPr>
                <w:b/>
                <w:sz w:val="20"/>
                <w:szCs w:val="24"/>
              </w:rPr>
            </w:pPr>
            <w:r w:rsidRPr="00BA1465">
              <w:rPr>
                <w:b/>
                <w:sz w:val="20"/>
                <w:szCs w:val="24"/>
              </w:rPr>
              <w:t>INR.</w:t>
            </w:r>
          </w:p>
        </w:tc>
        <w:tc>
          <w:tcPr>
            <w:tcW w:w="5800" w:type="dxa"/>
          </w:tcPr>
          <w:p w14:paraId="198E7742" w14:textId="77777777" w:rsidR="00C750F6" w:rsidRPr="00BA1465" w:rsidRDefault="00C750F6" w:rsidP="00D62820">
            <w:pPr>
              <w:pStyle w:val="TableRow"/>
              <w:cnfStyle w:val="000000100000" w:firstRow="0" w:lastRow="0" w:firstColumn="0" w:lastColumn="0" w:oddVBand="0" w:evenVBand="0" w:oddHBand="1" w:evenHBand="0" w:firstRowFirstColumn="0" w:firstRowLastColumn="0" w:lastRowFirstColumn="0" w:lastRowLastColumn="0"/>
              <w:rPr>
                <w:sz w:val="20"/>
                <w:szCs w:val="24"/>
              </w:rPr>
            </w:pPr>
            <w:r w:rsidRPr="00BA1465">
              <w:rPr>
                <w:sz w:val="20"/>
                <w:szCs w:val="24"/>
              </w:rPr>
              <w:t>Interpretive Note to Recommendation</w:t>
            </w:r>
          </w:p>
        </w:tc>
      </w:tr>
      <w:tr w:rsidR="00C750F6" w:rsidRPr="00D62820" w14:paraId="33EA84E2" w14:textId="77777777" w:rsidTr="00D6282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56F1A11A" w14:textId="77777777" w:rsidR="00C750F6" w:rsidRPr="00BA1465" w:rsidRDefault="00C750F6" w:rsidP="00D62820">
            <w:pPr>
              <w:pStyle w:val="TableRow"/>
              <w:rPr>
                <w:b/>
                <w:sz w:val="20"/>
                <w:szCs w:val="24"/>
              </w:rPr>
            </w:pPr>
            <w:r w:rsidRPr="00BA1465">
              <w:rPr>
                <w:b/>
                <w:sz w:val="20"/>
                <w:szCs w:val="24"/>
              </w:rPr>
              <w:t>ML</w:t>
            </w:r>
          </w:p>
        </w:tc>
        <w:tc>
          <w:tcPr>
            <w:tcW w:w="5800" w:type="dxa"/>
          </w:tcPr>
          <w:p w14:paraId="0EBE41AF" w14:textId="77777777" w:rsidR="00C750F6" w:rsidRPr="00BA1465" w:rsidRDefault="00C750F6" w:rsidP="00D62820">
            <w:pPr>
              <w:pStyle w:val="TableRow"/>
              <w:cnfStyle w:val="000000010000" w:firstRow="0" w:lastRow="0" w:firstColumn="0" w:lastColumn="0" w:oddVBand="0" w:evenVBand="0" w:oddHBand="0" w:evenHBand="1" w:firstRowFirstColumn="0" w:firstRowLastColumn="0" w:lastRowFirstColumn="0" w:lastRowLastColumn="0"/>
              <w:rPr>
                <w:sz w:val="20"/>
                <w:szCs w:val="24"/>
              </w:rPr>
            </w:pPr>
            <w:r w:rsidRPr="00BA1465">
              <w:rPr>
                <w:sz w:val="20"/>
                <w:szCs w:val="24"/>
              </w:rPr>
              <w:t>Money laundering</w:t>
            </w:r>
          </w:p>
        </w:tc>
      </w:tr>
      <w:tr w:rsidR="00C750F6" w:rsidRPr="00D62820" w14:paraId="16C177DE" w14:textId="77777777" w:rsidTr="00D628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46F88F51" w14:textId="77777777" w:rsidR="00C750F6" w:rsidRPr="00BA1465" w:rsidRDefault="00C750F6" w:rsidP="00D62820">
            <w:pPr>
              <w:pStyle w:val="TableRow"/>
              <w:rPr>
                <w:b/>
                <w:sz w:val="20"/>
                <w:szCs w:val="24"/>
              </w:rPr>
            </w:pPr>
            <w:r w:rsidRPr="00BA1465">
              <w:rPr>
                <w:b/>
                <w:sz w:val="20"/>
                <w:szCs w:val="24"/>
              </w:rPr>
              <w:t>PEP</w:t>
            </w:r>
          </w:p>
        </w:tc>
        <w:tc>
          <w:tcPr>
            <w:tcW w:w="5800" w:type="dxa"/>
          </w:tcPr>
          <w:p w14:paraId="489EFFA0" w14:textId="77777777" w:rsidR="00C750F6" w:rsidRPr="00BA1465" w:rsidRDefault="00C750F6" w:rsidP="00D62820">
            <w:pPr>
              <w:pStyle w:val="TableRow"/>
              <w:cnfStyle w:val="000000100000" w:firstRow="0" w:lastRow="0" w:firstColumn="0" w:lastColumn="0" w:oddVBand="0" w:evenVBand="0" w:oddHBand="1" w:evenHBand="0" w:firstRowFirstColumn="0" w:firstRowLastColumn="0" w:lastRowFirstColumn="0" w:lastRowLastColumn="0"/>
              <w:rPr>
                <w:sz w:val="20"/>
                <w:szCs w:val="24"/>
              </w:rPr>
            </w:pPr>
            <w:r w:rsidRPr="00BA1465">
              <w:rPr>
                <w:sz w:val="20"/>
                <w:szCs w:val="24"/>
              </w:rPr>
              <w:t>Politically Exposed Person</w:t>
            </w:r>
          </w:p>
        </w:tc>
      </w:tr>
      <w:tr w:rsidR="00C750F6" w:rsidRPr="00D62820" w14:paraId="360E48DC" w14:textId="77777777" w:rsidTr="00D6282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172031DA" w14:textId="77777777" w:rsidR="00C750F6" w:rsidRPr="00BA1465" w:rsidRDefault="00C750F6" w:rsidP="00D62820">
            <w:pPr>
              <w:pStyle w:val="TableRow"/>
              <w:rPr>
                <w:b/>
                <w:sz w:val="20"/>
                <w:szCs w:val="24"/>
              </w:rPr>
            </w:pPr>
            <w:r w:rsidRPr="00BA1465">
              <w:rPr>
                <w:b/>
                <w:sz w:val="20"/>
                <w:szCs w:val="24"/>
              </w:rPr>
              <w:t>R.</w:t>
            </w:r>
          </w:p>
        </w:tc>
        <w:tc>
          <w:tcPr>
            <w:tcW w:w="5800" w:type="dxa"/>
          </w:tcPr>
          <w:p w14:paraId="4925467F" w14:textId="77777777" w:rsidR="00C750F6" w:rsidRPr="00BA1465" w:rsidRDefault="00C750F6" w:rsidP="00D62820">
            <w:pPr>
              <w:pStyle w:val="TableRow"/>
              <w:cnfStyle w:val="000000010000" w:firstRow="0" w:lastRow="0" w:firstColumn="0" w:lastColumn="0" w:oddVBand="0" w:evenVBand="0" w:oddHBand="0" w:evenHBand="1" w:firstRowFirstColumn="0" w:firstRowLastColumn="0" w:lastRowFirstColumn="0" w:lastRowLastColumn="0"/>
              <w:rPr>
                <w:sz w:val="20"/>
                <w:szCs w:val="24"/>
              </w:rPr>
            </w:pPr>
            <w:r w:rsidRPr="00BA1465">
              <w:rPr>
                <w:sz w:val="20"/>
                <w:szCs w:val="24"/>
              </w:rPr>
              <w:t>Recommendation</w:t>
            </w:r>
          </w:p>
        </w:tc>
      </w:tr>
      <w:tr w:rsidR="00C750F6" w:rsidRPr="00D62820" w14:paraId="7CAC5837" w14:textId="77777777" w:rsidTr="00D628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5D0DE7C7" w14:textId="77777777" w:rsidR="00C750F6" w:rsidRPr="00BA1465" w:rsidRDefault="00C750F6" w:rsidP="00D62820">
            <w:pPr>
              <w:pStyle w:val="TableRow"/>
              <w:rPr>
                <w:b/>
                <w:sz w:val="20"/>
                <w:szCs w:val="24"/>
              </w:rPr>
            </w:pPr>
            <w:r w:rsidRPr="00BA1465">
              <w:rPr>
                <w:b/>
                <w:sz w:val="20"/>
                <w:szCs w:val="24"/>
              </w:rPr>
              <w:t>RBA</w:t>
            </w:r>
          </w:p>
        </w:tc>
        <w:tc>
          <w:tcPr>
            <w:tcW w:w="5800" w:type="dxa"/>
          </w:tcPr>
          <w:p w14:paraId="79819E8C" w14:textId="77777777" w:rsidR="00C750F6" w:rsidRPr="00BA1465" w:rsidRDefault="00C750F6" w:rsidP="00D62820">
            <w:pPr>
              <w:pStyle w:val="TableRow"/>
              <w:cnfStyle w:val="000000100000" w:firstRow="0" w:lastRow="0" w:firstColumn="0" w:lastColumn="0" w:oddVBand="0" w:evenVBand="0" w:oddHBand="1" w:evenHBand="0" w:firstRowFirstColumn="0" w:firstRowLastColumn="0" w:lastRowFirstColumn="0" w:lastRowLastColumn="0"/>
              <w:rPr>
                <w:sz w:val="20"/>
                <w:szCs w:val="24"/>
              </w:rPr>
            </w:pPr>
            <w:r w:rsidRPr="00BA1465">
              <w:rPr>
                <w:sz w:val="20"/>
                <w:szCs w:val="24"/>
              </w:rPr>
              <w:t>Risk-based approach</w:t>
            </w:r>
          </w:p>
        </w:tc>
      </w:tr>
      <w:tr w:rsidR="00C750F6" w:rsidRPr="00D62820" w14:paraId="022A4B53" w14:textId="77777777" w:rsidTr="00D6282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7AC143D1" w14:textId="77777777" w:rsidR="00C750F6" w:rsidRPr="00BA1465" w:rsidRDefault="00C750F6" w:rsidP="00D62820">
            <w:pPr>
              <w:pStyle w:val="TableRow"/>
              <w:rPr>
                <w:b/>
                <w:sz w:val="20"/>
                <w:szCs w:val="24"/>
              </w:rPr>
            </w:pPr>
            <w:r w:rsidRPr="00BA1465">
              <w:rPr>
                <w:b/>
                <w:sz w:val="20"/>
                <w:szCs w:val="24"/>
              </w:rPr>
              <w:t>SRB</w:t>
            </w:r>
          </w:p>
          <w:p w14:paraId="6353A348" w14:textId="77777777" w:rsidR="00C750F6" w:rsidRPr="00BA1465" w:rsidRDefault="00C750F6" w:rsidP="00D62820">
            <w:pPr>
              <w:pStyle w:val="TableRow"/>
              <w:rPr>
                <w:b/>
                <w:sz w:val="20"/>
                <w:szCs w:val="24"/>
              </w:rPr>
            </w:pPr>
            <w:r w:rsidRPr="00BA1465">
              <w:rPr>
                <w:b/>
                <w:sz w:val="20"/>
                <w:szCs w:val="24"/>
              </w:rPr>
              <w:t>STR</w:t>
            </w:r>
          </w:p>
        </w:tc>
        <w:tc>
          <w:tcPr>
            <w:tcW w:w="5800" w:type="dxa"/>
          </w:tcPr>
          <w:p w14:paraId="1AABF2D3" w14:textId="77777777" w:rsidR="00C750F6" w:rsidRPr="00BA1465" w:rsidRDefault="00C750F6" w:rsidP="00D62820">
            <w:pPr>
              <w:pStyle w:val="TableRow"/>
              <w:cnfStyle w:val="000000010000" w:firstRow="0" w:lastRow="0" w:firstColumn="0" w:lastColumn="0" w:oddVBand="0" w:evenVBand="0" w:oddHBand="0" w:evenHBand="1" w:firstRowFirstColumn="0" w:firstRowLastColumn="0" w:lastRowFirstColumn="0" w:lastRowLastColumn="0"/>
              <w:rPr>
                <w:sz w:val="20"/>
                <w:szCs w:val="24"/>
              </w:rPr>
            </w:pPr>
            <w:r w:rsidRPr="00BA1465">
              <w:rPr>
                <w:sz w:val="20"/>
                <w:szCs w:val="24"/>
              </w:rPr>
              <w:t>Self-regulatory body</w:t>
            </w:r>
          </w:p>
          <w:p w14:paraId="518F512F" w14:textId="77777777" w:rsidR="00C750F6" w:rsidRPr="00BA1465" w:rsidRDefault="00C750F6" w:rsidP="00D62820">
            <w:pPr>
              <w:pStyle w:val="TableRow"/>
              <w:cnfStyle w:val="000000010000" w:firstRow="0" w:lastRow="0" w:firstColumn="0" w:lastColumn="0" w:oddVBand="0" w:evenVBand="0" w:oddHBand="0" w:evenHBand="1" w:firstRowFirstColumn="0" w:firstRowLastColumn="0" w:lastRowFirstColumn="0" w:lastRowLastColumn="0"/>
              <w:rPr>
                <w:sz w:val="20"/>
                <w:szCs w:val="24"/>
              </w:rPr>
            </w:pPr>
            <w:r w:rsidRPr="00BA1465">
              <w:rPr>
                <w:sz w:val="20"/>
                <w:szCs w:val="24"/>
              </w:rPr>
              <w:t>Suspicious transaction report</w:t>
            </w:r>
          </w:p>
        </w:tc>
      </w:tr>
      <w:tr w:rsidR="00C750F6" w:rsidRPr="00D62820" w14:paraId="65079F4D" w14:textId="77777777" w:rsidTr="00D6282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0" w:type="dxa"/>
          </w:tcPr>
          <w:p w14:paraId="2B985B10" w14:textId="77777777" w:rsidR="00C750F6" w:rsidRPr="00BA1465" w:rsidRDefault="00C750F6" w:rsidP="00D62820">
            <w:pPr>
              <w:pStyle w:val="TableRow"/>
              <w:rPr>
                <w:b/>
                <w:sz w:val="20"/>
                <w:szCs w:val="24"/>
              </w:rPr>
            </w:pPr>
            <w:r w:rsidRPr="00BA1465">
              <w:rPr>
                <w:b/>
                <w:sz w:val="20"/>
                <w:szCs w:val="24"/>
              </w:rPr>
              <w:t>TCSP</w:t>
            </w:r>
          </w:p>
          <w:p w14:paraId="0EEA393A" w14:textId="77777777" w:rsidR="00C750F6" w:rsidRPr="00BA1465" w:rsidRDefault="00C750F6" w:rsidP="00D62820">
            <w:pPr>
              <w:pStyle w:val="TableRow"/>
              <w:rPr>
                <w:b/>
                <w:sz w:val="20"/>
                <w:szCs w:val="24"/>
              </w:rPr>
            </w:pPr>
            <w:r w:rsidRPr="00BA1465">
              <w:rPr>
                <w:b/>
                <w:sz w:val="20"/>
                <w:szCs w:val="24"/>
              </w:rPr>
              <w:t>TF</w:t>
            </w:r>
          </w:p>
        </w:tc>
        <w:tc>
          <w:tcPr>
            <w:tcW w:w="5800" w:type="dxa"/>
          </w:tcPr>
          <w:p w14:paraId="4AA22A54" w14:textId="77777777" w:rsidR="00C750F6" w:rsidRPr="00BA1465" w:rsidRDefault="00C750F6" w:rsidP="00D62820">
            <w:pPr>
              <w:pStyle w:val="TableRow"/>
              <w:cnfStyle w:val="000000100000" w:firstRow="0" w:lastRow="0" w:firstColumn="0" w:lastColumn="0" w:oddVBand="0" w:evenVBand="0" w:oddHBand="1" w:evenHBand="0" w:firstRowFirstColumn="0" w:firstRowLastColumn="0" w:lastRowFirstColumn="0" w:lastRowLastColumn="0"/>
              <w:rPr>
                <w:sz w:val="20"/>
                <w:szCs w:val="24"/>
              </w:rPr>
            </w:pPr>
            <w:r w:rsidRPr="00BA1465">
              <w:rPr>
                <w:sz w:val="20"/>
                <w:szCs w:val="24"/>
              </w:rPr>
              <w:t>Trust and company service providers</w:t>
            </w:r>
          </w:p>
          <w:p w14:paraId="4A3EC490" w14:textId="77777777" w:rsidR="00C750F6" w:rsidRPr="00BA1465" w:rsidRDefault="00C750F6" w:rsidP="00D62820">
            <w:pPr>
              <w:pStyle w:val="TableRow"/>
              <w:cnfStyle w:val="000000100000" w:firstRow="0" w:lastRow="0" w:firstColumn="0" w:lastColumn="0" w:oddVBand="0" w:evenVBand="0" w:oddHBand="1" w:evenHBand="0" w:firstRowFirstColumn="0" w:firstRowLastColumn="0" w:lastRowFirstColumn="0" w:lastRowLastColumn="0"/>
              <w:rPr>
                <w:sz w:val="20"/>
                <w:szCs w:val="24"/>
              </w:rPr>
            </w:pPr>
            <w:r w:rsidRPr="00BA1465">
              <w:rPr>
                <w:sz w:val="20"/>
                <w:szCs w:val="24"/>
              </w:rPr>
              <w:t>Terrorist financing</w:t>
            </w:r>
          </w:p>
        </w:tc>
      </w:tr>
    </w:tbl>
    <w:p w14:paraId="3F65A5D0" w14:textId="67289050" w:rsidR="0098261F" w:rsidRDefault="00626658" w:rsidP="0098261F">
      <w:pPr>
        <w:tabs>
          <w:tab w:val="clear" w:pos="850"/>
          <w:tab w:val="clear" w:pos="1191"/>
          <w:tab w:val="clear" w:pos="1531"/>
        </w:tabs>
        <w:jc w:val="left"/>
        <w:rPr>
          <w:rFonts w:cs="Arial"/>
          <w:bCs/>
          <w:i/>
          <w:color w:val="4E81BD"/>
          <w:kern w:val="28"/>
          <w:sz w:val="32"/>
          <w:szCs w:val="32"/>
          <w:lang w:eastAsia="zh-CN"/>
        </w:rPr>
      </w:pPr>
      <w:r>
        <w:rPr>
          <w:rFonts w:cs="Arial"/>
          <w:bCs/>
          <w:i/>
          <w:color w:val="4E81BD"/>
          <w:kern w:val="28"/>
          <w:sz w:val="32"/>
          <w:szCs w:val="32"/>
          <w:lang w:eastAsia="zh-CN"/>
        </w:rPr>
        <w:br w:type="page"/>
      </w:r>
    </w:p>
    <w:p w14:paraId="4899D3B6" w14:textId="7EA2BD1A" w:rsidR="0098261F" w:rsidRDefault="0098261F" w:rsidP="00BA1465">
      <w:pPr>
        <w:pStyle w:val="Heading1"/>
        <w:numPr>
          <w:ilvl w:val="0"/>
          <w:numId w:val="27"/>
        </w:numPr>
        <w:spacing w:before="360" w:after="120"/>
      </w:pPr>
      <w:bookmarkStart w:id="11" w:name="_Toc525561725"/>
      <w:bookmarkStart w:id="12" w:name="_Toc525562419"/>
      <w:bookmarkStart w:id="13" w:name="_Toc1994906"/>
      <w:r w:rsidRPr="00D62820">
        <w:lastRenderedPageBreak/>
        <w:t>Section I- Introduction and Key Concepts</w:t>
      </w:r>
      <w:bookmarkEnd w:id="11"/>
      <w:bookmarkEnd w:id="12"/>
      <w:bookmarkEnd w:id="13"/>
    </w:p>
    <w:tbl>
      <w:tblPr>
        <w:tblW w:w="5000" w:type="pct"/>
        <w:jc w:val="center"/>
        <w:tblBorders>
          <w:top w:val="single" w:sz="4" w:space="0" w:color="auto"/>
          <w:left w:val="single" w:sz="4" w:space="0" w:color="auto"/>
          <w:bottom w:val="single" w:sz="4" w:space="0" w:color="auto"/>
          <w:right w:val="single" w:sz="4" w:space="0" w:color="auto"/>
        </w:tblBorders>
        <w:shd w:val="clear" w:color="auto" w:fill="EDF0F7"/>
        <w:tblCellMar>
          <w:left w:w="0" w:type="dxa"/>
          <w:bottom w:w="142" w:type="dxa"/>
          <w:right w:w="0" w:type="dxa"/>
        </w:tblCellMar>
        <w:tblLook w:val="0000" w:firstRow="0" w:lastRow="0" w:firstColumn="0" w:lastColumn="0" w:noHBand="0" w:noVBand="0"/>
      </w:tblPr>
      <w:tblGrid>
        <w:gridCol w:w="9289"/>
      </w:tblGrid>
      <w:tr w:rsidR="00D62820" w:rsidRPr="00961F86" w14:paraId="72E1C322" w14:textId="77777777" w:rsidTr="007A03BD">
        <w:trPr>
          <w:trHeight w:val="4134"/>
          <w:jc w:val="center"/>
        </w:trPr>
        <w:tc>
          <w:tcPr>
            <w:tcW w:w="5000" w:type="pct"/>
            <w:shd w:val="clear" w:color="auto" w:fill="EDF0F7"/>
          </w:tcPr>
          <w:p w14:paraId="6A1B98CA" w14:textId="49B2244D" w:rsidR="008E745B" w:rsidRPr="00BA1465" w:rsidRDefault="008E745B" w:rsidP="008E745B">
            <w:pPr>
              <w:pStyle w:val="Para0"/>
              <w:rPr>
                <w:sz w:val="21"/>
                <w:szCs w:val="21"/>
              </w:rPr>
            </w:pPr>
            <w:r w:rsidRPr="00BA1465">
              <w:rPr>
                <w:sz w:val="21"/>
                <w:szCs w:val="21"/>
              </w:rPr>
              <w:t xml:space="preserve">This Guidance should be read in conjunction with </w:t>
            </w:r>
            <w:r w:rsidRPr="00BA1465">
              <w:rPr>
                <w:rFonts w:cstheme="minorHAnsi"/>
                <w:sz w:val="21"/>
                <w:szCs w:val="21"/>
              </w:rPr>
              <w:t xml:space="preserve">the following, which are available on the FATF website: </w:t>
            </w:r>
            <w:hyperlink r:id="rId18" w:history="1">
              <w:r w:rsidRPr="00BA1465">
                <w:rPr>
                  <w:rStyle w:val="Hyperlink"/>
                  <w:bCs/>
                  <w:sz w:val="21"/>
                  <w:szCs w:val="21"/>
                </w:rPr>
                <w:t>www.fatf-gafi.org</w:t>
              </w:r>
            </w:hyperlink>
            <w:r w:rsidRPr="00BA1465">
              <w:rPr>
                <w:sz w:val="21"/>
                <w:szCs w:val="21"/>
              </w:rPr>
              <w:t>:</w:t>
            </w:r>
          </w:p>
          <w:p w14:paraId="3FC15C9E" w14:textId="77777777" w:rsidR="008E745B" w:rsidRPr="00BA1465" w:rsidRDefault="008E745B" w:rsidP="00533ED1">
            <w:pPr>
              <w:pStyle w:val="BulletedList"/>
              <w:numPr>
                <w:ilvl w:val="0"/>
                <w:numId w:val="127"/>
              </w:numPr>
              <w:rPr>
                <w:sz w:val="21"/>
                <w:szCs w:val="21"/>
              </w:rPr>
            </w:pPr>
            <w:r w:rsidRPr="00BA1465">
              <w:rPr>
                <w:sz w:val="21"/>
                <w:szCs w:val="21"/>
              </w:rPr>
              <w:t>The FATF Recommendations, especially Recommendations 1, 10, 11, 12, 17, 20, 21, 22, 23, 24, 25 and 28 and their Interpretive Notes (INR), and the Glossary.</w:t>
            </w:r>
          </w:p>
          <w:p w14:paraId="780AEE10" w14:textId="77777777" w:rsidR="008E745B" w:rsidRPr="00BA1465" w:rsidRDefault="008E745B" w:rsidP="00533ED1">
            <w:pPr>
              <w:pStyle w:val="BulletedList"/>
              <w:numPr>
                <w:ilvl w:val="0"/>
                <w:numId w:val="127"/>
              </w:numPr>
              <w:rPr>
                <w:sz w:val="21"/>
                <w:szCs w:val="21"/>
              </w:rPr>
            </w:pPr>
            <w:r w:rsidRPr="00BA1465">
              <w:rPr>
                <w:sz w:val="21"/>
                <w:szCs w:val="21"/>
              </w:rPr>
              <w:t>Other relevant FATF Guidance documents such as:</w:t>
            </w:r>
          </w:p>
          <w:p w14:paraId="565BE5C1" w14:textId="77777777" w:rsidR="008E745B" w:rsidRPr="00BA1465" w:rsidRDefault="008E745B" w:rsidP="008E745B">
            <w:pPr>
              <w:pStyle w:val="BulletedList"/>
              <w:spacing w:after="0"/>
              <w:rPr>
                <w:sz w:val="21"/>
                <w:szCs w:val="21"/>
              </w:rPr>
            </w:pPr>
            <w:r w:rsidRPr="00BA1465">
              <w:rPr>
                <w:sz w:val="21"/>
                <w:szCs w:val="21"/>
              </w:rPr>
              <w:t>The FATF Guidance on National Money Laundering and Terrorist Financing Risk Assessment (February 2013)</w:t>
            </w:r>
          </w:p>
          <w:p w14:paraId="1E8A0664" w14:textId="0DC512D3" w:rsidR="008E745B" w:rsidRPr="00BA1465" w:rsidRDefault="008E745B" w:rsidP="008E745B">
            <w:pPr>
              <w:pStyle w:val="BulletedList"/>
              <w:spacing w:after="0"/>
              <w:rPr>
                <w:sz w:val="21"/>
                <w:szCs w:val="21"/>
              </w:rPr>
            </w:pPr>
            <w:r w:rsidRPr="00BA1465">
              <w:rPr>
                <w:sz w:val="21"/>
                <w:szCs w:val="21"/>
              </w:rPr>
              <w:t>FATF Guidance on the Risk-Based Approac</w:t>
            </w:r>
            <w:r w:rsidR="00CB6A63">
              <w:rPr>
                <w:sz w:val="21"/>
                <w:szCs w:val="21"/>
              </w:rPr>
              <w:t>h for Accountants</w:t>
            </w:r>
          </w:p>
          <w:p w14:paraId="3023E5AC" w14:textId="77777777" w:rsidR="008E745B" w:rsidRPr="00BA1465" w:rsidRDefault="008E745B" w:rsidP="008E745B">
            <w:pPr>
              <w:pStyle w:val="BulletedList"/>
              <w:spacing w:after="0"/>
              <w:rPr>
                <w:sz w:val="21"/>
                <w:szCs w:val="21"/>
              </w:rPr>
            </w:pPr>
            <w:r w:rsidRPr="00BA1465">
              <w:rPr>
                <w:sz w:val="21"/>
                <w:szCs w:val="21"/>
              </w:rPr>
              <w:t>FATF Guidance on the Risk-Based Approach for Legal Professionals</w:t>
            </w:r>
          </w:p>
          <w:p w14:paraId="6C2ECBED" w14:textId="48B7F27E" w:rsidR="008E745B" w:rsidRPr="00BA1465" w:rsidRDefault="008E745B" w:rsidP="008E745B">
            <w:pPr>
              <w:pStyle w:val="BulletedList"/>
              <w:spacing w:after="0"/>
              <w:rPr>
                <w:sz w:val="21"/>
                <w:szCs w:val="21"/>
              </w:rPr>
            </w:pPr>
            <w:r w:rsidRPr="00BA1465">
              <w:rPr>
                <w:sz w:val="21"/>
                <w:szCs w:val="21"/>
              </w:rPr>
              <w:t>FATF Guidance on Transparency and Beneficial Ownership (October 2014)</w:t>
            </w:r>
          </w:p>
          <w:p w14:paraId="53DEA17E" w14:textId="77777777" w:rsidR="008E745B" w:rsidRPr="00BA1465" w:rsidRDefault="008E745B" w:rsidP="008E745B">
            <w:pPr>
              <w:pStyle w:val="BulletedList"/>
              <w:numPr>
                <w:ilvl w:val="0"/>
                <w:numId w:val="0"/>
              </w:numPr>
              <w:spacing w:after="0"/>
              <w:ind w:left="1361"/>
              <w:rPr>
                <w:sz w:val="21"/>
                <w:szCs w:val="21"/>
              </w:rPr>
            </w:pPr>
          </w:p>
          <w:p w14:paraId="1F406611" w14:textId="77777777" w:rsidR="008E745B" w:rsidRPr="00BA1465" w:rsidRDefault="008E745B" w:rsidP="007A03BD">
            <w:pPr>
              <w:pStyle w:val="BulletedList"/>
              <w:numPr>
                <w:ilvl w:val="0"/>
                <w:numId w:val="127"/>
              </w:numPr>
              <w:rPr>
                <w:sz w:val="21"/>
                <w:szCs w:val="21"/>
              </w:rPr>
            </w:pPr>
            <w:r w:rsidRPr="00BA1465">
              <w:rPr>
                <w:sz w:val="21"/>
                <w:szCs w:val="21"/>
              </w:rPr>
              <w:t xml:space="preserve">Other relevant FATF Reports such as: </w:t>
            </w:r>
          </w:p>
          <w:p w14:paraId="04985B5E" w14:textId="77777777" w:rsidR="008E745B" w:rsidRPr="00BA1465" w:rsidRDefault="008E745B" w:rsidP="008E745B">
            <w:pPr>
              <w:pStyle w:val="BulletedList"/>
              <w:rPr>
                <w:sz w:val="21"/>
                <w:szCs w:val="21"/>
              </w:rPr>
            </w:pPr>
            <w:r w:rsidRPr="00BA1465">
              <w:rPr>
                <w:sz w:val="21"/>
                <w:szCs w:val="21"/>
              </w:rPr>
              <w:t>Money Laundering Using Trust and Company Service Providers (October 2010)</w:t>
            </w:r>
          </w:p>
          <w:p w14:paraId="46E5A46D" w14:textId="63F5D9AC" w:rsidR="00D62820" w:rsidRPr="008E745B" w:rsidRDefault="008E745B" w:rsidP="007A03BD">
            <w:pPr>
              <w:pStyle w:val="BulletedList"/>
            </w:pPr>
            <w:r w:rsidRPr="00BA1465">
              <w:rPr>
                <w:sz w:val="21"/>
                <w:szCs w:val="21"/>
              </w:rPr>
              <w:t>The Joint FATF and Egmont Group Report on Concealment of Beneficial Ownership (July 2018)</w:t>
            </w:r>
          </w:p>
        </w:tc>
      </w:tr>
    </w:tbl>
    <w:p w14:paraId="1480F8E2" w14:textId="52EE57C1" w:rsidR="0098261F" w:rsidRPr="00E650F0" w:rsidRDefault="0098261F" w:rsidP="00BA1465">
      <w:pPr>
        <w:pStyle w:val="Heading2"/>
        <w:spacing w:before="120" w:after="120"/>
      </w:pPr>
      <w:bookmarkStart w:id="14" w:name="_Toc525561726"/>
      <w:bookmarkStart w:id="15" w:name="_Toc525562420"/>
      <w:bookmarkStart w:id="16" w:name="_Toc1994907"/>
      <w:r w:rsidRPr="008E745B">
        <w:t>Background</w:t>
      </w:r>
      <w:r w:rsidRPr="00E650F0">
        <w:t xml:space="preserve"> and </w:t>
      </w:r>
      <w:r>
        <w:t>c</w:t>
      </w:r>
      <w:r w:rsidRPr="00E650F0">
        <w:t>ontext</w:t>
      </w:r>
      <w:bookmarkEnd w:id="14"/>
      <w:bookmarkEnd w:id="15"/>
      <w:bookmarkEnd w:id="16"/>
      <w:r w:rsidRPr="00E650F0">
        <w:t xml:space="preserve"> </w:t>
      </w:r>
    </w:p>
    <w:p w14:paraId="32D8BFC2" w14:textId="308E8ABE" w:rsidR="0098261F" w:rsidRDefault="0098261F" w:rsidP="00BA1465">
      <w:pPr>
        <w:pStyle w:val="Para"/>
        <w:numPr>
          <w:ilvl w:val="0"/>
          <w:numId w:val="33"/>
        </w:numPr>
        <w:spacing w:line="228" w:lineRule="auto"/>
      </w:pPr>
      <w:r w:rsidRPr="00E650F0">
        <w:t xml:space="preserve">The risk-based approach (RBA) is central to the effective implementation of the revised FATF </w:t>
      </w:r>
      <w:r w:rsidRPr="008E745B">
        <w:rPr>
          <w:i/>
        </w:rPr>
        <w:t xml:space="preserve">International Standards on Combating Money Laundering and the Financing of Terrorism </w:t>
      </w:r>
      <w:r w:rsidRPr="008E745B">
        <w:t>and</w:t>
      </w:r>
      <w:r w:rsidRPr="008E745B">
        <w:rPr>
          <w:i/>
        </w:rPr>
        <w:t xml:space="preserve"> Proliferation</w:t>
      </w:r>
      <w:r w:rsidRPr="00E650F0">
        <w:t>, which were adopted in 2012</w:t>
      </w:r>
      <w:r w:rsidRPr="00E650F0">
        <w:rPr>
          <w:vertAlign w:val="superscript"/>
        </w:rPr>
        <w:footnoteRef/>
      </w:r>
      <w:r w:rsidRPr="00E650F0">
        <w:footnoteReference w:id="3"/>
      </w:r>
      <w:r w:rsidRPr="00E650F0">
        <w:t>. The FATF has reviewed its 2009 RBA Guidance for trust and compan</w:t>
      </w:r>
      <w:r>
        <w:t>y</w:t>
      </w:r>
      <w:r w:rsidRPr="00E650F0">
        <w:t xml:space="preserve"> service providers (TCSPs), in order to bring it in line with the new FATF requirements</w:t>
      </w:r>
      <w:r w:rsidR="00F0432D">
        <w:rPr>
          <w:rStyle w:val="FootnoteReference"/>
        </w:rPr>
        <w:footnoteRef/>
      </w:r>
      <w:r w:rsidRPr="00E650F0">
        <w:footnoteReference w:id="4"/>
      </w:r>
      <w:r w:rsidRPr="00E650F0">
        <w:t xml:space="preserve"> and to reflect the experience gained by public authorities and the private sector over the years in applying the RBA. This revised version applies to the TCSP sector</w:t>
      </w:r>
      <w:r w:rsidRPr="00E650F0">
        <w:rPr>
          <w:rStyle w:val="FootnoteReference"/>
          <w:szCs w:val="22"/>
        </w:rPr>
        <w:footnoteRef/>
      </w:r>
      <w:r w:rsidRPr="00E650F0">
        <w:footnoteReference w:id="5"/>
      </w:r>
      <w:r w:rsidRPr="00E650F0">
        <w:t xml:space="preserve"> as well as, accountant and legal professionals who provide TCSP services, and financial institutions who are engaged in TCSP activity (e.g. through subsidiaries that conduct TCSP activity).</w:t>
      </w:r>
    </w:p>
    <w:p w14:paraId="40413E28" w14:textId="676D58EA" w:rsidR="0098261F" w:rsidRPr="008E745B" w:rsidRDefault="0098261F" w:rsidP="00BA1465">
      <w:pPr>
        <w:pStyle w:val="Para"/>
        <w:spacing w:line="228" w:lineRule="auto"/>
      </w:pPr>
      <w:r>
        <w:t xml:space="preserve">Reference in this </w:t>
      </w:r>
      <w:r w:rsidRPr="008E745B">
        <w:t>Guidance to TCSPs refers to trust and company services providers acting in the course of a business.</w:t>
      </w:r>
    </w:p>
    <w:p w14:paraId="21FA65B7" w14:textId="5331BCC7" w:rsidR="0098261F" w:rsidRPr="00E650F0" w:rsidRDefault="00EA560A" w:rsidP="00BA1465">
      <w:pPr>
        <w:pStyle w:val="Para"/>
        <w:spacing w:line="228" w:lineRule="auto"/>
        <w:rPr>
          <w:szCs w:val="22"/>
        </w:rPr>
      </w:pPr>
      <w:r w:rsidRPr="008E745B">
        <w:t>The RBA Guidance for the TCSP sector was drafted by a Project group comprising FATF members, FATF observer member the Group of International Finance Centre Supervisors and representatives of the private sector. The Project group was co-led by the UK, the United States, the Institute of Chartered Accountants</w:t>
      </w:r>
      <w:r w:rsidRPr="00A905A9">
        <w:rPr>
          <w:szCs w:val="22"/>
        </w:rPr>
        <w:t xml:space="preserve"> in England and Wales, </w:t>
      </w:r>
      <w:r>
        <w:rPr>
          <w:szCs w:val="22"/>
        </w:rPr>
        <w:t xml:space="preserve">the </w:t>
      </w:r>
      <w:r w:rsidRPr="00A905A9">
        <w:rPr>
          <w:szCs w:val="22"/>
        </w:rPr>
        <w:t xml:space="preserve">International Bar Association and </w:t>
      </w:r>
      <w:r>
        <w:rPr>
          <w:szCs w:val="22"/>
        </w:rPr>
        <w:t xml:space="preserve">the </w:t>
      </w:r>
      <w:r w:rsidRPr="00A905A9">
        <w:rPr>
          <w:szCs w:val="22"/>
        </w:rPr>
        <w:t>Society of Trust and Estate Practitioners. Membership of the Project Group is set out in Annex 3</w:t>
      </w:r>
      <w:r w:rsidRPr="00E650F0">
        <w:rPr>
          <w:szCs w:val="22"/>
        </w:rPr>
        <w:t>.</w:t>
      </w:r>
    </w:p>
    <w:p w14:paraId="1E1CE783" w14:textId="4048DA34" w:rsidR="0098261F" w:rsidRPr="00E650F0" w:rsidRDefault="0098261F" w:rsidP="008E745B">
      <w:pPr>
        <w:pStyle w:val="Para"/>
      </w:pPr>
      <w:r w:rsidRPr="00E650F0">
        <w:t xml:space="preserve">The FATF adopted this updated RBA Guidance for </w:t>
      </w:r>
      <w:r>
        <w:t>TCSP</w:t>
      </w:r>
      <w:r w:rsidRPr="00E650F0">
        <w:t xml:space="preserve"> at its </w:t>
      </w:r>
      <w:r>
        <w:t>XX</w:t>
      </w:r>
      <w:r w:rsidR="00B56B9D">
        <w:t>X</w:t>
      </w:r>
      <w:r>
        <w:t xml:space="preserve"> </w:t>
      </w:r>
      <w:r w:rsidRPr="00E650F0">
        <w:t>Plenary.</w:t>
      </w:r>
    </w:p>
    <w:p w14:paraId="55EA51BF" w14:textId="77777777" w:rsidR="0098261F" w:rsidRPr="00E650F0" w:rsidRDefault="0098261F" w:rsidP="0098261F">
      <w:pPr>
        <w:pStyle w:val="Heading2"/>
      </w:pPr>
      <w:bookmarkStart w:id="17" w:name="_Toc525561727"/>
      <w:bookmarkStart w:id="18" w:name="_Toc525562421"/>
      <w:bookmarkStart w:id="19" w:name="_Toc1994908"/>
      <w:r w:rsidRPr="00E650F0">
        <w:lastRenderedPageBreak/>
        <w:t>Purpose of the Guidance</w:t>
      </w:r>
      <w:bookmarkEnd w:id="17"/>
      <w:bookmarkEnd w:id="18"/>
      <w:bookmarkEnd w:id="19"/>
      <w:r w:rsidRPr="00E650F0">
        <w:t xml:space="preserve"> </w:t>
      </w:r>
    </w:p>
    <w:p w14:paraId="194EFF54" w14:textId="77777777" w:rsidR="0098261F" w:rsidRPr="00E650F0" w:rsidRDefault="0098261F" w:rsidP="008E745B">
      <w:pPr>
        <w:pStyle w:val="Para"/>
      </w:pPr>
      <w:r w:rsidRPr="00E650F0">
        <w:t xml:space="preserve">The </w:t>
      </w:r>
      <w:r w:rsidRPr="008E745B">
        <w:t>purpose</w:t>
      </w:r>
      <w:r w:rsidRPr="00E650F0">
        <w:t xml:space="preserve"> of this Guidance is to:</w:t>
      </w:r>
    </w:p>
    <w:p w14:paraId="06A6056C" w14:textId="057B77E7" w:rsidR="0098261F" w:rsidRPr="00F0432D" w:rsidRDefault="0098261F" w:rsidP="00533ED1">
      <w:pPr>
        <w:pStyle w:val="BulletedList"/>
        <w:numPr>
          <w:ilvl w:val="0"/>
          <w:numId w:val="129"/>
        </w:numPr>
      </w:pPr>
      <w:r w:rsidRPr="00F0432D">
        <w:t xml:space="preserve">Support a common understanding of a RBA for TCSPs, financial institutions </w:t>
      </w:r>
      <w:r w:rsidR="00AD08CE">
        <w:t xml:space="preserve">and </w:t>
      </w:r>
      <w:r w:rsidR="00F64546" w:rsidRPr="00EB29FA">
        <w:rPr>
          <w:lang w:eastAsia="en-GB"/>
        </w:rPr>
        <w:t>designated non-financial busin</w:t>
      </w:r>
      <w:r w:rsidR="00F64546">
        <w:rPr>
          <w:lang w:eastAsia="en-GB"/>
        </w:rPr>
        <w:t>esses and professions</w:t>
      </w:r>
      <w:r w:rsidR="00F64546">
        <w:t xml:space="preserve"> (</w:t>
      </w:r>
      <w:r w:rsidR="00AD08CE">
        <w:t>DNFPBs</w:t>
      </w:r>
      <w:r w:rsidR="00F64546">
        <w:t>)</w:t>
      </w:r>
      <w:r w:rsidR="00AD08CE" w:rsidRPr="0070001D">
        <w:rPr>
          <w:vertAlign w:val="superscript"/>
        </w:rPr>
        <w:footnoteReference w:id="6"/>
      </w:r>
      <w:r w:rsidR="00AD08CE">
        <w:t xml:space="preserve"> </w:t>
      </w:r>
      <w:r w:rsidRPr="00F0432D">
        <w:t>that maintain relationship</w:t>
      </w:r>
      <w:r w:rsidR="00B4136A">
        <w:t>s</w:t>
      </w:r>
      <w:r w:rsidRPr="00F0432D">
        <w:t xml:space="preserve"> with TCSPs, competent authorities and </w:t>
      </w:r>
      <w:r w:rsidR="00F64546">
        <w:t>self-regulatory bodies (S</w:t>
      </w:r>
      <w:r w:rsidRPr="00F0432D">
        <w:t>RBs</w:t>
      </w:r>
      <w:r w:rsidR="00F64546">
        <w:t>)</w:t>
      </w:r>
      <w:r w:rsidR="008E745B">
        <w:rPr>
          <w:rStyle w:val="FootnoteReference"/>
        </w:rPr>
        <w:footnoteReference w:id="7"/>
      </w:r>
      <w:r w:rsidRPr="00F0432D">
        <w:t xml:space="preserve"> responsible for monitoring </w:t>
      </w:r>
      <w:r w:rsidR="00527974">
        <w:t xml:space="preserve">the </w:t>
      </w:r>
      <w:r w:rsidRPr="00F0432D">
        <w:t>compliance</w:t>
      </w:r>
      <w:r w:rsidR="00527974">
        <w:t xml:space="preserve"> of TCSPs</w:t>
      </w:r>
      <w:r w:rsidRPr="00F0432D">
        <w:t xml:space="preserve"> with their AML/CFT obligations; </w:t>
      </w:r>
    </w:p>
    <w:p w14:paraId="65DC4201" w14:textId="1853D9E6" w:rsidR="00005661" w:rsidRDefault="00005661" w:rsidP="00533ED1">
      <w:pPr>
        <w:pStyle w:val="BulletedList"/>
        <w:numPr>
          <w:ilvl w:val="0"/>
          <w:numId w:val="129"/>
        </w:numPr>
      </w:pPr>
      <w:r w:rsidRPr="000F414F">
        <w:t xml:space="preserve">Assist </w:t>
      </w:r>
      <w:r w:rsidR="00160C10">
        <w:t xml:space="preserve">countries, competent authorities and </w:t>
      </w:r>
      <w:r>
        <w:t>TCSPs</w:t>
      </w:r>
      <w:r w:rsidRPr="000F414F">
        <w:t xml:space="preserve"> in the design and implementation of a RBA to AML/CFT by providing guidelines and examples of current practice, with a particular focus on providing advice to small firms</w:t>
      </w:r>
      <w:r>
        <w:t>;</w:t>
      </w:r>
      <w:r w:rsidRPr="000F414F">
        <w:t xml:space="preserve"> </w:t>
      </w:r>
    </w:p>
    <w:p w14:paraId="2A2AB3C9" w14:textId="3D6EFC92" w:rsidR="0098261F" w:rsidRPr="00F0432D" w:rsidRDefault="0098261F" w:rsidP="00533ED1">
      <w:pPr>
        <w:pStyle w:val="BulletedList"/>
        <w:numPr>
          <w:ilvl w:val="0"/>
          <w:numId w:val="129"/>
        </w:numPr>
      </w:pPr>
      <w:r w:rsidRPr="00F0432D">
        <w:t>Recognise the difference in the RBA for different TCSPs who are establishing trusts, companies or other legal entities for the benefit of clients or who are acting as trustees or directors (or providing persons to act as trustees or directors) of such trusts, companies or other legal entities as against TCSPs who are providing more limited services (e.g. registered office services);</w:t>
      </w:r>
    </w:p>
    <w:p w14:paraId="433FFEA9" w14:textId="0DB9F581" w:rsidR="0098261F" w:rsidRPr="00F0432D" w:rsidRDefault="0098261F" w:rsidP="00533ED1">
      <w:pPr>
        <w:pStyle w:val="BulletedList"/>
        <w:numPr>
          <w:ilvl w:val="0"/>
          <w:numId w:val="129"/>
        </w:numPr>
      </w:pPr>
      <w:r w:rsidRPr="00F0432D">
        <w:t xml:space="preserve">Outline the key elements involved in applying a RBA to AML/CFT </w:t>
      </w:r>
      <w:r w:rsidR="00527974">
        <w:t>related</w:t>
      </w:r>
      <w:r w:rsidR="00527974" w:rsidRPr="00F0432D">
        <w:t xml:space="preserve"> </w:t>
      </w:r>
      <w:r w:rsidRPr="00F0432D">
        <w:t xml:space="preserve">to TCSPs; </w:t>
      </w:r>
    </w:p>
    <w:p w14:paraId="049FF1F5" w14:textId="320C0837" w:rsidR="00AD08CE" w:rsidRPr="00F0432D" w:rsidRDefault="00AD08CE" w:rsidP="00533ED1">
      <w:pPr>
        <w:pStyle w:val="BulletedList"/>
        <w:numPr>
          <w:ilvl w:val="0"/>
          <w:numId w:val="129"/>
        </w:numPr>
      </w:pPr>
      <w:r w:rsidRPr="00F0432D">
        <w:t xml:space="preserve">Assist financial institutions </w:t>
      </w:r>
      <w:r>
        <w:t xml:space="preserve">and DNFPBs </w:t>
      </w:r>
      <w:r w:rsidRPr="00F0432D">
        <w:t>that have TCSPs as customers</w:t>
      </w:r>
      <w:r>
        <w:t xml:space="preserve"> in their role as </w:t>
      </w:r>
      <w:r w:rsidRPr="00F0432D">
        <w:t>directors or trustees of a legal person or legal arrangement customer of the financial institution</w:t>
      </w:r>
      <w:r>
        <w:t xml:space="preserve"> or DNFPB</w:t>
      </w:r>
      <w:r w:rsidRPr="00F0432D">
        <w:t xml:space="preserve">, in identifying, assessing and managing the ML/TF risk associated with TCSPs and their </w:t>
      </w:r>
      <w:r w:rsidR="00527974">
        <w:t>services</w:t>
      </w:r>
      <w:r w:rsidRPr="00F0432D">
        <w:t>;</w:t>
      </w:r>
    </w:p>
    <w:p w14:paraId="23E017A8" w14:textId="33BD4702" w:rsidR="0098261F" w:rsidRPr="00F0432D" w:rsidRDefault="0098261F" w:rsidP="004344DD">
      <w:pPr>
        <w:pStyle w:val="BulletedList"/>
        <w:numPr>
          <w:ilvl w:val="0"/>
          <w:numId w:val="129"/>
        </w:numPr>
      </w:pPr>
      <w:r w:rsidRPr="00F0432D">
        <w:t>Assist countries</w:t>
      </w:r>
      <w:r w:rsidR="000B731A">
        <w:t xml:space="preserve">, </w:t>
      </w:r>
      <w:r w:rsidRPr="00F0432D">
        <w:t xml:space="preserve">competent authorities </w:t>
      </w:r>
      <w:r w:rsidR="000B731A">
        <w:t xml:space="preserve">and SRBs </w:t>
      </w:r>
      <w:r w:rsidRPr="00F0432D">
        <w:t>in the implementation of the FATF Recommendations with respect to TCSPs, particularly Recommendations 22, 23 and 28;</w:t>
      </w:r>
    </w:p>
    <w:p w14:paraId="66F83F67" w14:textId="0B4714A3" w:rsidR="0098261F" w:rsidRPr="00F0432D" w:rsidRDefault="0098261F" w:rsidP="00533ED1">
      <w:pPr>
        <w:pStyle w:val="BulletedList"/>
        <w:numPr>
          <w:ilvl w:val="0"/>
          <w:numId w:val="129"/>
        </w:numPr>
      </w:pPr>
      <w:r w:rsidRPr="00F0432D">
        <w:t>Assist countries, SRBs and the private sector to meet the requirements expected of them</w:t>
      </w:r>
      <w:r w:rsidR="00527974">
        <w:t>, particularly</w:t>
      </w:r>
      <w:r w:rsidRPr="00F0432D">
        <w:t xml:space="preserve"> under IO.3 and IO.4;</w:t>
      </w:r>
    </w:p>
    <w:p w14:paraId="5CA5352C" w14:textId="3B8092F4" w:rsidR="0098261F" w:rsidRPr="00F0432D" w:rsidRDefault="0098261F" w:rsidP="00533ED1">
      <w:pPr>
        <w:pStyle w:val="BulletedList"/>
        <w:numPr>
          <w:ilvl w:val="0"/>
          <w:numId w:val="129"/>
        </w:numPr>
      </w:pPr>
      <w:r w:rsidRPr="00F0432D">
        <w:t xml:space="preserve">Support the effective implementation of </w:t>
      </w:r>
      <w:r w:rsidR="00527974">
        <w:t xml:space="preserve">action plans of </w:t>
      </w:r>
      <w:r w:rsidR="00562D2A">
        <w:t>NRA</w:t>
      </w:r>
      <w:r w:rsidRPr="00F0432D">
        <w:t xml:space="preserve">s </w:t>
      </w:r>
      <w:r w:rsidR="00D31E01">
        <w:t>conducted</w:t>
      </w:r>
      <w:r w:rsidR="00D31E01" w:rsidRPr="00F0432D">
        <w:t xml:space="preserve"> </w:t>
      </w:r>
      <w:r w:rsidRPr="00F0432D">
        <w:t xml:space="preserve">by countries; and </w:t>
      </w:r>
    </w:p>
    <w:p w14:paraId="48F5C242" w14:textId="77777777" w:rsidR="0098261F" w:rsidRPr="00F0432D" w:rsidRDefault="0098261F" w:rsidP="00533ED1">
      <w:pPr>
        <w:pStyle w:val="BulletedList"/>
        <w:numPr>
          <w:ilvl w:val="0"/>
          <w:numId w:val="129"/>
        </w:numPr>
      </w:pPr>
      <w:r w:rsidRPr="00F0432D">
        <w:t>Support the effective implementation and supervision by countries of national AML/CFT measures, by focusing on risks as well as preventive and mitigating measures.</w:t>
      </w:r>
    </w:p>
    <w:p w14:paraId="172A3FB0" w14:textId="163B9420" w:rsidR="0098261F" w:rsidRPr="00E650F0" w:rsidRDefault="0098261F" w:rsidP="0098261F">
      <w:pPr>
        <w:pStyle w:val="Heading2"/>
      </w:pPr>
      <w:bookmarkStart w:id="20" w:name="_Toc525561728"/>
      <w:bookmarkStart w:id="21" w:name="_Toc525562422"/>
      <w:bookmarkStart w:id="22" w:name="_Toc1994909"/>
      <w:r w:rsidRPr="00E650F0">
        <w:t xml:space="preserve">Target </w:t>
      </w:r>
      <w:r>
        <w:t>a</w:t>
      </w:r>
      <w:r w:rsidRPr="00E650F0">
        <w:t xml:space="preserve">udience, </w:t>
      </w:r>
      <w:r>
        <w:t>s</w:t>
      </w:r>
      <w:r w:rsidRPr="00E650F0">
        <w:t xml:space="preserve">tatus and </w:t>
      </w:r>
      <w:r>
        <w:t>c</w:t>
      </w:r>
      <w:r w:rsidRPr="00E650F0">
        <w:t>ontent of the Guidance</w:t>
      </w:r>
      <w:bookmarkEnd w:id="20"/>
      <w:bookmarkEnd w:id="21"/>
      <w:bookmarkEnd w:id="22"/>
      <w:r w:rsidRPr="00E650F0">
        <w:t xml:space="preserve"> </w:t>
      </w:r>
    </w:p>
    <w:p w14:paraId="4AD9F105" w14:textId="77777777" w:rsidR="0098261F" w:rsidRPr="008E745B" w:rsidRDefault="0098261F" w:rsidP="008E745B">
      <w:pPr>
        <w:pStyle w:val="Para"/>
      </w:pPr>
      <w:r w:rsidRPr="008E745B">
        <w:t>This Guidance is aimed at the following audience:</w:t>
      </w:r>
    </w:p>
    <w:p w14:paraId="26001B7E" w14:textId="34E53BAB" w:rsidR="0098261F" w:rsidRDefault="0098261F" w:rsidP="00533ED1">
      <w:pPr>
        <w:pStyle w:val="BulletedList"/>
        <w:numPr>
          <w:ilvl w:val="0"/>
          <w:numId w:val="130"/>
        </w:numPr>
      </w:pPr>
      <w:r w:rsidRPr="006D266B">
        <w:t>Practitioners in the TCSP sector</w:t>
      </w:r>
      <w:r w:rsidR="00592F23">
        <w:t>;</w:t>
      </w:r>
      <w:r w:rsidRPr="006D266B">
        <w:t xml:space="preserve"> </w:t>
      </w:r>
    </w:p>
    <w:p w14:paraId="6D2B7FF8" w14:textId="60668891" w:rsidR="0098261F" w:rsidRPr="00F552D0" w:rsidRDefault="0098261F" w:rsidP="00533ED1">
      <w:pPr>
        <w:pStyle w:val="BulletedList"/>
        <w:numPr>
          <w:ilvl w:val="0"/>
          <w:numId w:val="130"/>
        </w:numPr>
      </w:pPr>
      <w:r w:rsidRPr="00F552D0">
        <w:t xml:space="preserve">Countries and their competent authorities, including AML/CFT supervisors of TCSPs, SRBs, AML/CFT supervisors of banks </w:t>
      </w:r>
      <w:r>
        <w:t xml:space="preserve">and other financial institutions </w:t>
      </w:r>
      <w:r w:rsidRPr="00F552D0">
        <w:t xml:space="preserve">that have TCSPs as customers, and Financial Intelligence Units (FIU); and </w:t>
      </w:r>
    </w:p>
    <w:p w14:paraId="38D94D12" w14:textId="59ECD81D" w:rsidR="0098261F" w:rsidRPr="006D266B" w:rsidRDefault="00AD08CE" w:rsidP="00533ED1">
      <w:pPr>
        <w:pStyle w:val="BulletedList"/>
        <w:numPr>
          <w:ilvl w:val="0"/>
          <w:numId w:val="130"/>
        </w:numPr>
      </w:pPr>
      <w:r w:rsidRPr="006D266B">
        <w:lastRenderedPageBreak/>
        <w:t xml:space="preserve">Practitioners in the banking sector </w:t>
      </w:r>
      <w:r>
        <w:t>and other financial services sectors</w:t>
      </w:r>
      <w:r w:rsidRPr="006D266B">
        <w:t xml:space="preserve"> </w:t>
      </w:r>
      <w:r>
        <w:t xml:space="preserve">and DNFPBs </w:t>
      </w:r>
      <w:r w:rsidRPr="006D266B">
        <w:t>that have TCSPs as customers.</w:t>
      </w:r>
    </w:p>
    <w:p w14:paraId="036E8EAC" w14:textId="350F4482" w:rsidR="0098261F" w:rsidRPr="00E650F0" w:rsidRDefault="00527974" w:rsidP="008E745B">
      <w:pPr>
        <w:pStyle w:val="Para"/>
      </w:pPr>
      <w:r>
        <w:t>The Guidance</w:t>
      </w:r>
      <w:r w:rsidRPr="00E650F0">
        <w:t xml:space="preserve"> </w:t>
      </w:r>
      <w:r w:rsidR="0098261F" w:rsidRPr="00E650F0">
        <w:t xml:space="preserve">consists of </w:t>
      </w:r>
      <w:r w:rsidR="00581F9E">
        <w:t>four</w:t>
      </w:r>
      <w:r w:rsidR="0098261F" w:rsidRPr="00E650F0">
        <w:t xml:space="preserve"> sections. Section I sets out </w:t>
      </w:r>
      <w:r w:rsidR="00581F9E">
        <w:t xml:space="preserve">introduction and </w:t>
      </w:r>
      <w:r w:rsidR="0098261F" w:rsidRPr="00E650F0">
        <w:t xml:space="preserve">the key </w:t>
      </w:r>
      <w:r w:rsidR="008865AF">
        <w:t xml:space="preserve">concepts. Section II </w:t>
      </w:r>
      <w:r w:rsidR="008865AF" w:rsidRPr="008E745B">
        <w:t>contains</w:t>
      </w:r>
      <w:r w:rsidR="008865AF">
        <w:t xml:space="preserve"> key </w:t>
      </w:r>
      <w:r w:rsidR="0098261F" w:rsidRPr="00E650F0">
        <w:t xml:space="preserve">elements of the RBA and </w:t>
      </w:r>
      <w:r w:rsidR="0098261F">
        <w:t>should</w:t>
      </w:r>
      <w:r w:rsidR="0098261F" w:rsidRPr="00E650F0">
        <w:t xml:space="preserve"> be read in conjunction with specific Guidance to TCSPs (Section </w:t>
      </w:r>
      <w:r w:rsidR="008865AF">
        <w:t>I</w:t>
      </w:r>
      <w:r w:rsidR="0098261F" w:rsidRPr="00E650F0">
        <w:t>II)</w:t>
      </w:r>
      <w:r w:rsidR="0098261F">
        <w:t xml:space="preserve"> and guidance</w:t>
      </w:r>
      <w:r w:rsidR="0098261F" w:rsidRPr="00E650F0">
        <w:t xml:space="preserve"> to supervisors of TCSPs on the effective implementation of a RBA (Section III). There </w:t>
      </w:r>
      <w:r w:rsidR="0098261F" w:rsidRPr="009A4B57">
        <w:t xml:space="preserve">are </w:t>
      </w:r>
      <w:r w:rsidR="00B00AEE">
        <w:t>three</w:t>
      </w:r>
      <w:r w:rsidR="0014286F" w:rsidRPr="00E650F0">
        <w:t xml:space="preserve"> </w:t>
      </w:r>
      <w:r w:rsidR="0098261F" w:rsidRPr="00E650F0">
        <w:t xml:space="preserve">annexes </w:t>
      </w:r>
      <w:r w:rsidR="0014286F">
        <w:t>on</w:t>
      </w:r>
      <w:r w:rsidR="0098261F" w:rsidRPr="00E650F0">
        <w:t>:</w:t>
      </w:r>
    </w:p>
    <w:p w14:paraId="08E1E4CF" w14:textId="6C2264ED" w:rsidR="001167B0" w:rsidRDefault="0014286F" w:rsidP="00533ED1">
      <w:pPr>
        <w:pStyle w:val="BulletedList"/>
        <w:numPr>
          <w:ilvl w:val="0"/>
          <w:numId w:val="131"/>
        </w:numPr>
      </w:pPr>
      <w:r w:rsidRPr="001B24AA">
        <w:t xml:space="preserve">Beneficial ownership information in relation to a </w:t>
      </w:r>
      <w:r w:rsidR="00F93AED">
        <w:t xml:space="preserve">company, </w:t>
      </w:r>
      <w:r w:rsidRPr="001B24AA">
        <w:t xml:space="preserve">trust or other legal </w:t>
      </w:r>
      <w:r w:rsidR="00F93AED">
        <w:t>arrangements</w:t>
      </w:r>
      <w:r w:rsidRPr="001B24AA">
        <w:t xml:space="preserve"> to whom a </w:t>
      </w:r>
      <w:r w:rsidR="00FD2444">
        <w:t>TCSP</w:t>
      </w:r>
      <w:r>
        <w:t xml:space="preserve"> </w:t>
      </w:r>
      <w:r w:rsidRPr="001B24AA">
        <w:t>provides services</w:t>
      </w:r>
      <w:r>
        <w:t xml:space="preserve"> (</w:t>
      </w:r>
      <w:r w:rsidR="001167B0" w:rsidRPr="004204F2">
        <w:t>Annex 1);</w:t>
      </w:r>
    </w:p>
    <w:p w14:paraId="5D1395AA" w14:textId="3502F4E8" w:rsidR="001167B0" w:rsidRDefault="001167B0" w:rsidP="00533ED1">
      <w:pPr>
        <w:pStyle w:val="BulletedList"/>
        <w:numPr>
          <w:ilvl w:val="0"/>
          <w:numId w:val="131"/>
        </w:numPr>
      </w:pPr>
      <w:r>
        <w:t>Glossary of Terminology (Annex 2</w:t>
      </w:r>
      <w:r w:rsidRPr="004204F2">
        <w:t>);</w:t>
      </w:r>
      <w:r>
        <w:t xml:space="preserve"> </w:t>
      </w:r>
      <w:r w:rsidR="00BD165C">
        <w:t>and</w:t>
      </w:r>
    </w:p>
    <w:p w14:paraId="68537253" w14:textId="496A6D04" w:rsidR="001167B0" w:rsidRDefault="007465F8" w:rsidP="00533ED1">
      <w:pPr>
        <w:pStyle w:val="BulletedList"/>
        <w:numPr>
          <w:ilvl w:val="0"/>
          <w:numId w:val="131"/>
        </w:numPr>
      </w:pPr>
      <w:r>
        <w:t>Members of the RBA D</w:t>
      </w:r>
      <w:r w:rsidR="001167B0" w:rsidRPr="009E3185">
        <w:t>rafting</w:t>
      </w:r>
      <w:r w:rsidR="00321F0E">
        <w:t xml:space="preserve"> </w:t>
      </w:r>
      <w:r>
        <w:t>G</w:t>
      </w:r>
      <w:r w:rsidR="001167B0" w:rsidRPr="009E3185">
        <w:t xml:space="preserve">roup (Annex </w:t>
      </w:r>
      <w:r w:rsidR="00BD165C">
        <w:t>3</w:t>
      </w:r>
      <w:r w:rsidR="001167B0" w:rsidRPr="009E3185">
        <w:t>)</w:t>
      </w:r>
      <w:r w:rsidR="001167B0" w:rsidRPr="00ED5316">
        <w:t>.</w:t>
      </w:r>
    </w:p>
    <w:p w14:paraId="79E19F0B" w14:textId="198ABB7A" w:rsidR="00AD08CE" w:rsidRPr="008E745B" w:rsidRDefault="00AD08CE" w:rsidP="008E745B">
      <w:pPr>
        <w:pStyle w:val="Para"/>
      </w:pPr>
      <w:r w:rsidRPr="00B160B6">
        <w:t>This</w:t>
      </w:r>
      <w:r w:rsidRPr="00E650F0">
        <w:t xml:space="preserve"> Guidance recognises that an effective RBA will </w:t>
      </w:r>
      <w:r>
        <w:t>take account</w:t>
      </w:r>
      <w:r w:rsidR="00AB2DF0">
        <w:t xml:space="preserve"> of</w:t>
      </w:r>
      <w:r>
        <w:t xml:space="preserve"> the national context</w:t>
      </w:r>
      <w:r w:rsidR="00527974" w:rsidRPr="00B160B6">
        <w:t xml:space="preserve">, consider the legal and regulatory approach </w:t>
      </w:r>
      <w:r w:rsidR="00527974" w:rsidRPr="00301D62">
        <w:t>and relevant sector guidance in each country</w:t>
      </w:r>
      <w:r w:rsidR="00527974" w:rsidRPr="00B160B6">
        <w:t xml:space="preserve">, </w:t>
      </w:r>
      <w:r>
        <w:t xml:space="preserve">and </w:t>
      </w:r>
      <w:r w:rsidRPr="00E650F0">
        <w:t xml:space="preserve">reflect </w:t>
      </w:r>
      <w:r w:rsidRPr="008E745B">
        <w:t xml:space="preserve">the nature, diversity and maturity of a country’s TCSP sector, the risk profile of the sector, the risk profile of individual owners, controllers and managers of TCSPs operating in the </w:t>
      </w:r>
      <w:r w:rsidR="00527974" w:rsidRPr="008E745B">
        <w:t xml:space="preserve">TCSP </w:t>
      </w:r>
      <w:r w:rsidRPr="008E745B">
        <w:t>sector. It sets out different elements that countries and TCSPs could consider when designing and implementing a</w:t>
      </w:r>
      <w:r w:rsidR="00527974" w:rsidRPr="008E745B">
        <w:t>n effective</w:t>
      </w:r>
      <w:r w:rsidRPr="008E745B">
        <w:t xml:space="preserve"> RBA. </w:t>
      </w:r>
    </w:p>
    <w:p w14:paraId="036EF1E0" w14:textId="2340B0AD" w:rsidR="0098261F" w:rsidRPr="00B160B6" w:rsidRDefault="0098261F" w:rsidP="008E745B">
      <w:pPr>
        <w:pStyle w:val="Para"/>
      </w:pPr>
      <w:r w:rsidRPr="008E745B">
        <w:t>This Guidance is non-binding and does not overrule the purview of national authorities</w:t>
      </w:r>
      <w:r w:rsidR="00A502B0" w:rsidRPr="00345E20">
        <w:rPr>
          <w:vertAlign w:val="superscript"/>
        </w:rPr>
        <w:footnoteRef/>
      </w:r>
      <w:r w:rsidRPr="00345E20">
        <w:rPr>
          <w:vertAlign w:val="superscript"/>
        </w:rPr>
        <w:footnoteReference w:id="8"/>
      </w:r>
      <w:r w:rsidRPr="008E745B">
        <w:t>, including on their local assessment and categorisation of the TCSP sector based on the prevailing ML/TF risk situation and other contextual factors. It draws on the experiences of countries and of the private sector to assist competent authorities and TCSPs to implement applicable FATF Recommendations</w:t>
      </w:r>
      <w:r w:rsidRPr="00B160B6">
        <w:t xml:space="preserve"> effectively.</w:t>
      </w:r>
      <w:r w:rsidR="00527974" w:rsidRPr="00B160B6">
        <w:t xml:space="preserve"> </w:t>
      </w:r>
      <w:r w:rsidR="00527974" w:rsidRPr="00301D62">
        <w:t xml:space="preserve">DNFPBs </w:t>
      </w:r>
      <w:r w:rsidR="00527974">
        <w:t xml:space="preserve">should also </w:t>
      </w:r>
      <w:r w:rsidR="00527974" w:rsidRPr="00301D62">
        <w:t xml:space="preserve">refer to relevant legislation and sector guidance for the country in which a </w:t>
      </w:r>
      <w:r w:rsidR="00D50A83">
        <w:t>TCSP</w:t>
      </w:r>
      <w:r w:rsidR="00527974" w:rsidRPr="00301D62">
        <w:t xml:space="preserve"> customer is based.</w:t>
      </w:r>
    </w:p>
    <w:p w14:paraId="5241CFD4" w14:textId="45D81F72" w:rsidR="0098261F" w:rsidRPr="00E650F0" w:rsidRDefault="0098261F" w:rsidP="008E745B">
      <w:pPr>
        <w:pStyle w:val="Heading2"/>
      </w:pPr>
      <w:bookmarkStart w:id="23" w:name="_Toc514954182"/>
      <w:bookmarkStart w:id="24" w:name="_Toc517720567"/>
      <w:bookmarkStart w:id="25" w:name="_Toc525561729"/>
      <w:bookmarkStart w:id="26" w:name="_Toc525562423"/>
      <w:bookmarkStart w:id="27" w:name="_Toc1994910"/>
      <w:bookmarkEnd w:id="23"/>
      <w:bookmarkEnd w:id="24"/>
      <w:r w:rsidRPr="00E650F0">
        <w:t xml:space="preserve">Scope of the </w:t>
      </w:r>
      <w:r w:rsidRPr="008E745B">
        <w:t>Guidance</w:t>
      </w:r>
      <w:r w:rsidRPr="00E650F0">
        <w:t xml:space="preserve">: </w:t>
      </w:r>
      <w:r>
        <w:t>t</w:t>
      </w:r>
      <w:r w:rsidRPr="00E650F0">
        <w:t xml:space="preserve">erminology, </w:t>
      </w:r>
      <w:r>
        <w:t>k</w:t>
      </w:r>
      <w:r w:rsidRPr="00E650F0">
        <w:t xml:space="preserve">ey </w:t>
      </w:r>
      <w:r>
        <w:t>f</w:t>
      </w:r>
      <w:r w:rsidRPr="00E650F0">
        <w:t xml:space="preserve">eatures and </w:t>
      </w:r>
      <w:r>
        <w:t>b</w:t>
      </w:r>
      <w:r w:rsidRPr="00E650F0">
        <w:t xml:space="preserve">usiness </w:t>
      </w:r>
      <w:r>
        <w:t>m</w:t>
      </w:r>
      <w:r w:rsidRPr="00E650F0">
        <w:t>odels</w:t>
      </w:r>
      <w:bookmarkEnd w:id="25"/>
      <w:bookmarkEnd w:id="26"/>
      <w:bookmarkEnd w:id="27"/>
    </w:p>
    <w:p w14:paraId="41CECD5C" w14:textId="77777777" w:rsidR="0098261F" w:rsidRPr="00E650F0" w:rsidRDefault="0098261F" w:rsidP="008E745B">
      <w:pPr>
        <w:pStyle w:val="Heading3"/>
      </w:pPr>
      <w:bookmarkStart w:id="28" w:name="_Toc525561730"/>
      <w:bookmarkStart w:id="29" w:name="_Toc525562424"/>
      <w:bookmarkStart w:id="30" w:name="_Toc1994911"/>
      <w:r w:rsidRPr="008E745B">
        <w:t>Terminology</w:t>
      </w:r>
      <w:bookmarkEnd w:id="28"/>
      <w:bookmarkEnd w:id="29"/>
      <w:bookmarkEnd w:id="30"/>
    </w:p>
    <w:p w14:paraId="35A917FE" w14:textId="7043F429" w:rsidR="0098261F" w:rsidRPr="00E650F0" w:rsidRDefault="0098261F" w:rsidP="008E745B">
      <w:pPr>
        <w:pStyle w:val="Para"/>
        <w:rPr>
          <w:szCs w:val="22"/>
        </w:rPr>
      </w:pPr>
      <w:r w:rsidRPr="00E650F0">
        <w:rPr>
          <w:szCs w:val="22"/>
        </w:rPr>
        <w:t xml:space="preserve">The FATF definition of TCSP relates to providers of trust and company services that are not covered </w:t>
      </w:r>
      <w:r w:rsidRPr="008E745B">
        <w:t xml:space="preserve">elsewhere by the FATF Recommendations, and therefore excludes financial institutions, </w:t>
      </w:r>
      <w:r w:rsidR="00A1312F" w:rsidRPr="008E745B">
        <w:t>legal professionals</w:t>
      </w:r>
      <w:r w:rsidRPr="008E745B">
        <w:t>, notaries, other independent legal professionals and accountants. Separate guidance has been</w:t>
      </w:r>
      <w:r w:rsidRPr="00E650F0">
        <w:rPr>
          <w:szCs w:val="22"/>
        </w:rPr>
        <w:t xml:space="preserve"> issued for those sectors, and they should therefore apply that guidance. However, all those </w:t>
      </w:r>
      <w:r>
        <w:rPr>
          <w:szCs w:val="22"/>
        </w:rPr>
        <w:t xml:space="preserve">entities </w:t>
      </w:r>
      <w:r w:rsidRPr="00E650F0">
        <w:rPr>
          <w:szCs w:val="22"/>
        </w:rPr>
        <w:t xml:space="preserve">engaged in TCSP activities </w:t>
      </w:r>
      <w:r>
        <w:rPr>
          <w:szCs w:val="22"/>
        </w:rPr>
        <w:t>should also</w:t>
      </w:r>
      <w:r w:rsidRPr="00E650F0">
        <w:rPr>
          <w:szCs w:val="22"/>
        </w:rPr>
        <w:t xml:space="preserve"> refer to the TCSPs guidance, as it is more specifically tailored to TCSP services. </w:t>
      </w:r>
    </w:p>
    <w:p w14:paraId="330A2F62" w14:textId="218080F5" w:rsidR="0098261F" w:rsidRPr="00E650F0" w:rsidRDefault="0098261F" w:rsidP="008E745B">
      <w:pPr>
        <w:pStyle w:val="Heading3"/>
      </w:pPr>
      <w:bookmarkStart w:id="31" w:name="_Toc525561731"/>
      <w:bookmarkStart w:id="32" w:name="_Toc525562425"/>
      <w:bookmarkStart w:id="33" w:name="_Toc1994912"/>
      <w:r w:rsidRPr="008E745B">
        <w:t>Key</w:t>
      </w:r>
      <w:r w:rsidRPr="00E650F0">
        <w:t xml:space="preserve"> </w:t>
      </w:r>
      <w:r>
        <w:t>f</w:t>
      </w:r>
      <w:r w:rsidRPr="00E650F0">
        <w:t>eatures</w:t>
      </w:r>
      <w:bookmarkEnd w:id="31"/>
      <w:bookmarkEnd w:id="32"/>
      <w:bookmarkEnd w:id="33"/>
    </w:p>
    <w:p w14:paraId="6D09B794" w14:textId="0D76A81D" w:rsidR="00AD08CE" w:rsidRPr="008E745B" w:rsidRDefault="00AD08CE" w:rsidP="008E745B">
      <w:pPr>
        <w:pStyle w:val="Para"/>
      </w:pPr>
      <w:r w:rsidRPr="008E745B">
        <w:t xml:space="preserve">TCSPs can take different forms. In some countries, they may be predominantly </w:t>
      </w:r>
      <w:r w:rsidR="00A1312F" w:rsidRPr="008E745B">
        <w:t>legal professionals</w:t>
      </w:r>
      <w:r w:rsidRPr="008E745B">
        <w:t>. In other countries – particularly in countries with a high concentration of non-resident business – TCSPs are independent trust companies which may be owned and operated by their directors/senior managers, or trust companies that are subsidiaries of financial institutions and DNFPBs. In some cases</w:t>
      </w:r>
      <w:r w:rsidR="00AB2DF0" w:rsidRPr="008E745B">
        <w:t>,</w:t>
      </w:r>
      <w:r w:rsidRPr="008E745B">
        <w:t xml:space="preserve"> these may form part of international non-bank financial groups which provide TCSP services from more than one jurisdiction, or who may be other professionals such as accountants. In other countries, trust service providers (e.g. trust companies) and company service providers are separate and distinct </w:t>
      </w:r>
      <w:r w:rsidRPr="008E745B">
        <w:lastRenderedPageBreak/>
        <w:t xml:space="preserve">categories of entities subject to separate regulatory requirements. As a result, not all persons and businesses active in the TCSP industries provide all of the services listed in the definition of a TCSP. Accordingly, risk should be identified and managed on a service-by-service basis. </w:t>
      </w:r>
    </w:p>
    <w:p w14:paraId="33CA455A" w14:textId="1C1C1104" w:rsidR="0098261F" w:rsidRPr="00E650F0" w:rsidRDefault="0098261F" w:rsidP="008E745B">
      <w:pPr>
        <w:pStyle w:val="Para"/>
      </w:pPr>
      <w:r w:rsidRPr="008E745B">
        <w:t>The roles and therefore risks of the different DNFBP constituents, including TCSPs are usually different. However, in some areas, there are inter-relationships between different DNFBP sectors, and between the DNFBPs and financial institutions. For example, in addition to specialised trust and company</w:t>
      </w:r>
      <w:r w:rsidRPr="00E650F0">
        <w:t xml:space="preserve"> service providers, financial institutions, </w:t>
      </w:r>
      <w:r w:rsidR="00A1312F">
        <w:t>legal professionals</w:t>
      </w:r>
      <w:r w:rsidRPr="00E650F0">
        <w:t xml:space="preserve">, and accountants may also undertake the trust and company services covered by the </w:t>
      </w:r>
      <w:r>
        <w:t xml:space="preserve">FATF </w:t>
      </w:r>
      <w:r w:rsidRPr="00E650F0">
        <w:t xml:space="preserve">Recommendations. </w:t>
      </w:r>
    </w:p>
    <w:p w14:paraId="71D3625D" w14:textId="77777777" w:rsidR="0098261F" w:rsidRPr="00E650F0" w:rsidRDefault="0098261F" w:rsidP="008E745B">
      <w:pPr>
        <w:pStyle w:val="Heading3"/>
      </w:pPr>
      <w:bookmarkStart w:id="34" w:name="_Toc517458667"/>
      <w:bookmarkStart w:id="35" w:name="_Toc525561732"/>
      <w:bookmarkStart w:id="36" w:name="_Toc525562426"/>
      <w:bookmarkStart w:id="37" w:name="_Toc1994913"/>
      <w:r w:rsidRPr="00297D2D">
        <w:t xml:space="preserve">Activities carried out by </w:t>
      </w:r>
      <w:bookmarkEnd w:id="34"/>
      <w:r>
        <w:t>TCSPs</w:t>
      </w:r>
      <w:bookmarkEnd w:id="35"/>
      <w:bookmarkEnd w:id="36"/>
      <w:bookmarkEnd w:id="37"/>
    </w:p>
    <w:p w14:paraId="7B80ADDE" w14:textId="5F77C117" w:rsidR="00005661" w:rsidRDefault="0098261F" w:rsidP="008E745B">
      <w:pPr>
        <w:pStyle w:val="Para"/>
      </w:pPr>
      <w:r w:rsidRPr="00E650F0">
        <w:t xml:space="preserve">TCSPs provide a range of services and activities that differ vastly, e.g. in their methods of delivery, in </w:t>
      </w:r>
      <w:r w:rsidRPr="008E745B">
        <w:t>the</w:t>
      </w:r>
      <w:r w:rsidRPr="00E650F0">
        <w:t xml:space="preserve"> depth and duration of the relationships formed with customers, and the size of the operation. For example, some of these entities are single person operations.</w:t>
      </w:r>
      <w:r>
        <w:t xml:space="preserve"> This Guidance is intended for all TCSPs and sets out a risk-based approach to ensure compliance with FATF’s Recommendations.</w:t>
      </w:r>
      <w:r w:rsidR="00005661">
        <w:t xml:space="preserve"> </w:t>
      </w:r>
    </w:p>
    <w:p w14:paraId="129B1922" w14:textId="26ED3CC7" w:rsidR="00005661" w:rsidRPr="00005661" w:rsidRDefault="00005661" w:rsidP="008E745B">
      <w:pPr>
        <w:pStyle w:val="Heading3"/>
      </w:pPr>
      <w:bookmarkStart w:id="38" w:name="_Toc1994914"/>
      <w:r w:rsidRPr="008E745B">
        <w:t>Vulnerabilities</w:t>
      </w:r>
      <w:r w:rsidRPr="00005661">
        <w:t xml:space="preserve"> of TCSP services</w:t>
      </w:r>
      <w:bookmarkEnd w:id="38"/>
    </w:p>
    <w:p w14:paraId="2C228A65" w14:textId="2446BE50" w:rsidR="00A33450" w:rsidRPr="001F30A6" w:rsidRDefault="00005661" w:rsidP="008E745B">
      <w:pPr>
        <w:pStyle w:val="Para"/>
      </w:pPr>
      <w:r w:rsidRPr="008868BC">
        <w:t xml:space="preserve">Criminals may seek the opportunity to retain control over criminally derived assets while frustrating the </w:t>
      </w:r>
      <w:r w:rsidRPr="00A33450">
        <w:rPr>
          <w:szCs w:val="22"/>
        </w:rPr>
        <w:t>ability</w:t>
      </w:r>
      <w:r w:rsidRPr="008868BC">
        <w:t xml:space="preserve"> of law enforcement to trace the origin and ownership of the assets. </w:t>
      </w:r>
      <w:r>
        <w:t>Trusts</w:t>
      </w:r>
      <w:r w:rsidRPr="008868BC">
        <w:t xml:space="preserve"> are seen by criminals as potentially useful vehicles to achieve this outcome. </w:t>
      </w:r>
      <w:r w:rsidR="00A33450" w:rsidRPr="001F30A6">
        <w:t>Companies and</w:t>
      </w:r>
      <w:r w:rsidR="00DA2BD6">
        <w:t xml:space="preserve"> </w:t>
      </w:r>
      <w:r w:rsidR="007C510B">
        <w:t xml:space="preserve">often </w:t>
      </w:r>
      <w:r w:rsidR="00A33450" w:rsidRPr="001F30A6">
        <w:t xml:space="preserve">trusts </w:t>
      </w:r>
      <w:r w:rsidR="00346207">
        <w:t xml:space="preserve">and other similar legal arrangements </w:t>
      </w:r>
      <w:r w:rsidR="00A33450" w:rsidRPr="001F30A6">
        <w:t>are seen by criminals as potentially useful vehicles to achieve this outcome.</w:t>
      </w:r>
      <w:r w:rsidR="00A33450">
        <w:t xml:space="preserve"> While s</w:t>
      </w:r>
      <w:r w:rsidR="00A33450" w:rsidRPr="001F30A6">
        <w:t>hell companies</w:t>
      </w:r>
      <w:r w:rsidR="00E21BD1">
        <w:rPr>
          <w:rStyle w:val="FootnoteReference"/>
        </w:rPr>
        <w:footnoteReference w:id="9"/>
      </w:r>
      <w:r w:rsidR="00A33450">
        <w:t>, which do not have any ongoing business activities or assets,</w:t>
      </w:r>
      <w:r w:rsidR="00A33450" w:rsidRPr="001F30A6">
        <w:t xml:space="preserve"> may be used </w:t>
      </w:r>
      <w:r w:rsidR="00A33450">
        <w:t>for</w:t>
      </w:r>
      <w:r w:rsidR="00A33450" w:rsidRPr="001F30A6">
        <w:t xml:space="preserve"> legitimat</w:t>
      </w:r>
      <w:r w:rsidR="00A33450">
        <w:t>e purposes such as serving as a transaction vehicle, they may also be used to conceal beneficial ownership, or enhance the perception of legitimacy.</w:t>
      </w:r>
      <w:r w:rsidR="00A33450" w:rsidRPr="001739BD">
        <w:t xml:space="preserve"> </w:t>
      </w:r>
      <w:r w:rsidR="00A33450">
        <w:t xml:space="preserve">Criminals may also </w:t>
      </w:r>
      <w:r w:rsidR="00A33450" w:rsidRPr="001739BD">
        <w:t>seek to misuse shelf companies</w:t>
      </w:r>
      <w:r w:rsidR="00E21BD1">
        <w:rPr>
          <w:rStyle w:val="FootnoteReference"/>
        </w:rPr>
        <w:footnoteReference w:id="10"/>
      </w:r>
      <w:r w:rsidR="00A33450" w:rsidRPr="001739BD">
        <w:t xml:space="preserve"> </w:t>
      </w:r>
      <w:r w:rsidR="00A33450">
        <w:t xml:space="preserve">formed by </w:t>
      </w:r>
      <w:r w:rsidR="00110F04">
        <w:t>TCSPs</w:t>
      </w:r>
      <w:r w:rsidR="00A33450">
        <w:t xml:space="preserve"> </w:t>
      </w:r>
      <w:r w:rsidR="00A33450" w:rsidRPr="001739BD">
        <w:t xml:space="preserve">by seeking access to companies </w:t>
      </w:r>
      <w:r w:rsidR="00A33450">
        <w:t>that</w:t>
      </w:r>
      <w:r w:rsidR="00A33450" w:rsidRPr="001739BD">
        <w:t xml:space="preserve"> have been ‘sitting on the</w:t>
      </w:r>
      <w:r w:rsidR="00A33450">
        <w:t xml:space="preserve"> </w:t>
      </w:r>
      <w:r w:rsidR="00A33450" w:rsidRPr="001739BD">
        <w:t>shelf’ for a long time</w:t>
      </w:r>
      <w:r w:rsidR="00A33450">
        <w:t xml:space="preserve">. This may be </w:t>
      </w:r>
      <w:r w:rsidR="00A33450" w:rsidRPr="001739BD">
        <w:t>in an attempt to create the impression that the company is reputable and</w:t>
      </w:r>
      <w:r w:rsidR="00A33450">
        <w:t xml:space="preserve"> </w:t>
      </w:r>
      <w:r w:rsidR="00A33450" w:rsidRPr="001739BD">
        <w:t xml:space="preserve">trading </w:t>
      </w:r>
      <w:r w:rsidR="00A33450">
        <w:t>in the ordinary course</w:t>
      </w:r>
      <w:r w:rsidR="00A33450" w:rsidRPr="001739BD">
        <w:t xml:space="preserve"> because it has been in existence for many years.</w:t>
      </w:r>
      <w:r w:rsidR="00A33450">
        <w:t xml:space="preserve"> </w:t>
      </w:r>
      <w:r w:rsidR="00A33450" w:rsidRPr="0005309D">
        <w:t xml:space="preserve">Shelf companies can also add to the overall complexity of </w:t>
      </w:r>
      <w:r w:rsidR="00A33450">
        <w:t>entity</w:t>
      </w:r>
      <w:r w:rsidR="00A33450" w:rsidRPr="0005309D">
        <w:t xml:space="preserve"> structures, further concealing the underlying beneficial ownership</w:t>
      </w:r>
      <w:r w:rsidR="00A33450">
        <w:t xml:space="preserve"> information.</w:t>
      </w:r>
    </w:p>
    <w:p w14:paraId="7B7D720E" w14:textId="0F74F758" w:rsidR="0098261F" w:rsidRPr="00E650F0" w:rsidRDefault="0098261F" w:rsidP="008E745B">
      <w:pPr>
        <w:pStyle w:val="Heading2"/>
      </w:pPr>
      <w:bookmarkStart w:id="39" w:name="_Toc533169566"/>
      <w:bookmarkStart w:id="40" w:name="_Toc525561733"/>
      <w:bookmarkStart w:id="41" w:name="_Toc525562427"/>
      <w:bookmarkStart w:id="42" w:name="_Toc1994915"/>
      <w:bookmarkEnd w:id="39"/>
      <w:r w:rsidRPr="00E650F0">
        <w:t xml:space="preserve">FATF Recommendations </w:t>
      </w:r>
      <w:r>
        <w:t>a</w:t>
      </w:r>
      <w:r w:rsidRPr="00E650F0">
        <w:t>pplicable to TCSPs</w:t>
      </w:r>
      <w:bookmarkEnd w:id="40"/>
      <w:bookmarkEnd w:id="41"/>
      <w:bookmarkEnd w:id="42"/>
    </w:p>
    <w:p w14:paraId="168D8B29" w14:textId="0574B119" w:rsidR="0098261F" w:rsidRPr="008E745B" w:rsidRDefault="00B4136A" w:rsidP="008E745B">
      <w:pPr>
        <w:pStyle w:val="Para"/>
      </w:pPr>
      <w:r>
        <w:t xml:space="preserve">The basic intent behind the FATF Recommendations as it relates to TCSPs is </w:t>
      </w:r>
      <w:r w:rsidR="00C56B3B">
        <w:t xml:space="preserve">to ensure that their operations and services </w:t>
      </w:r>
      <w:r w:rsidR="00C56B3B" w:rsidRPr="008E745B">
        <w:t xml:space="preserve">are not abused for facilitating criminal activities and </w:t>
      </w:r>
      <w:r w:rsidR="00531AEC" w:rsidRPr="008E745B">
        <w:t>ML/</w:t>
      </w:r>
      <w:r w:rsidR="00A57FE5" w:rsidRPr="008E745B">
        <w:t>TF</w:t>
      </w:r>
      <w:r w:rsidR="00C56B3B" w:rsidRPr="008E745B">
        <w:t xml:space="preserve">. </w:t>
      </w:r>
      <w:r w:rsidR="00461F5F" w:rsidRPr="008E745B">
        <w:t xml:space="preserve">The requirements of </w:t>
      </w:r>
      <w:r w:rsidR="00C56B3B" w:rsidRPr="008E745B">
        <w:t>R</w:t>
      </w:r>
      <w:r w:rsidR="0098261F" w:rsidRPr="008E745B">
        <w:t xml:space="preserve">.22 </w:t>
      </w:r>
      <w:r w:rsidR="00461F5F" w:rsidRPr="008E745B">
        <w:t xml:space="preserve">regarding </w:t>
      </w:r>
      <w:r w:rsidR="0098261F" w:rsidRPr="008E745B">
        <w:t xml:space="preserve">CDD, record-keeping, PEPs, new technologies and reliance on third parties set out in R.10, 11, 12, 15 and 17 </w:t>
      </w:r>
      <w:r w:rsidR="00AB2DF0" w:rsidRPr="008E745B">
        <w:t xml:space="preserve">should </w:t>
      </w:r>
      <w:r w:rsidR="0098261F" w:rsidRPr="008E745B">
        <w:t xml:space="preserve">apply to TCSPs in certain circumstances. </w:t>
      </w:r>
    </w:p>
    <w:p w14:paraId="4F2051FA" w14:textId="12C6BA1A" w:rsidR="0098261F" w:rsidRPr="008E745B" w:rsidRDefault="0098261F" w:rsidP="008E745B">
      <w:pPr>
        <w:pStyle w:val="Para"/>
      </w:pPr>
      <w:r w:rsidRPr="008E745B">
        <w:lastRenderedPageBreak/>
        <w:t xml:space="preserve">R.22 applies to TCSPs when they prepare for or carry out transactions for a client concerning the following activities: </w:t>
      </w:r>
    </w:p>
    <w:p w14:paraId="25F5B27F" w14:textId="77777777" w:rsidR="0098261F" w:rsidRPr="005F392E" w:rsidRDefault="0098261F" w:rsidP="00533ED1">
      <w:pPr>
        <w:pStyle w:val="BulletedList"/>
        <w:numPr>
          <w:ilvl w:val="0"/>
          <w:numId w:val="132"/>
        </w:numPr>
      </w:pPr>
      <w:r w:rsidRPr="005F392E">
        <w:t>Acting as a formation agent of legal persons</w:t>
      </w:r>
      <w:r>
        <w:t>;</w:t>
      </w:r>
      <w:r w:rsidRPr="005F392E">
        <w:t xml:space="preserve"> </w:t>
      </w:r>
    </w:p>
    <w:p w14:paraId="5DCD8156" w14:textId="77777777" w:rsidR="0098261F" w:rsidRPr="005F392E" w:rsidRDefault="0098261F" w:rsidP="00533ED1">
      <w:pPr>
        <w:pStyle w:val="BulletedList"/>
        <w:numPr>
          <w:ilvl w:val="0"/>
          <w:numId w:val="132"/>
        </w:numPr>
      </w:pPr>
      <w:r w:rsidRPr="005F392E">
        <w:t>Acting as (or arranging for another person to act as) a director or secretary of a company, a partner of a partnership, or a similar position in relation to other legal persons</w:t>
      </w:r>
      <w:r>
        <w:t>;</w:t>
      </w:r>
      <w:r w:rsidRPr="005F392E">
        <w:t xml:space="preserve"> </w:t>
      </w:r>
    </w:p>
    <w:p w14:paraId="2FE799DC" w14:textId="77777777" w:rsidR="0098261F" w:rsidRPr="005F392E" w:rsidRDefault="0098261F" w:rsidP="00533ED1">
      <w:pPr>
        <w:pStyle w:val="BulletedList"/>
        <w:numPr>
          <w:ilvl w:val="0"/>
          <w:numId w:val="132"/>
        </w:numPr>
      </w:pPr>
      <w:r w:rsidRPr="005F392E">
        <w:t>Providing a registered office; business address or accommodation, correspondence or administrative address for a company, a partnership or any other legal person or arrangement</w:t>
      </w:r>
      <w:r>
        <w:t>;</w:t>
      </w:r>
      <w:r w:rsidRPr="005F392E">
        <w:t xml:space="preserve"> </w:t>
      </w:r>
    </w:p>
    <w:p w14:paraId="630649B0" w14:textId="0E4CBFCE" w:rsidR="0098261F" w:rsidRPr="005F392E" w:rsidRDefault="0098261F" w:rsidP="00533ED1">
      <w:pPr>
        <w:pStyle w:val="BulletedList"/>
        <w:numPr>
          <w:ilvl w:val="0"/>
          <w:numId w:val="132"/>
        </w:numPr>
      </w:pPr>
      <w:r w:rsidRPr="005F392E">
        <w:t>Acting as (or arranging for another person to act as) a trustee of an express trust</w:t>
      </w:r>
      <w:r>
        <w:t xml:space="preserve"> or performing the equivalent function for another form of legal arrangements;</w:t>
      </w:r>
      <w:r w:rsidRPr="005F392E">
        <w:t xml:space="preserve"> </w:t>
      </w:r>
      <w:r w:rsidR="00592F23">
        <w:t>and</w:t>
      </w:r>
    </w:p>
    <w:p w14:paraId="0345CAB2" w14:textId="77777777" w:rsidR="0098261F" w:rsidRPr="005F392E" w:rsidRDefault="0098261F" w:rsidP="00533ED1">
      <w:pPr>
        <w:pStyle w:val="BulletedList"/>
        <w:numPr>
          <w:ilvl w:val="0"/>
          <w:numId w:val="132"/>
        </w:numPr>
      </w:pPr>
      <w:r w:rsidRPr="005F392E">
        <w:t xml:space="preserve">Acting as (or arranging for another person to act as) a nominee shareholder for another person. </w:t>
      </w:r>
    </w:p>
    <w:p w14:paraId="277DB567" w14:textId="0D4F1E0B" w:rsidR="0098261F" w:rsidRPr="008E745B" w:rsidRDefault="0098261F" w:rsidP="008E745B">
      <w:pPr>
        <w:pStyle w:val="Para"/>
      </w:pPr>
      <w:r w:rsidRPr="00E650F0">
        <w:t>R</w:t>
      </w:r>
      <w:r>
        <w:t>.</w:t>
      </w:r>
      <w:r w:rsidRPr="00E650F0">
        <w:t xml:space="preserve">23 requires that </w:t>
      </w:r>
      <w:r w:rsidR="00F330F5">
        <w:t>R.</w:t>
      </w:r>
      <w:r w:rsidR="00F330F5" w:rsidRPr="006565D7">
        <w:t>18, 19</w:t>
      </w:r>
      <w:r w:rsidR="00F330F5">
        <w:t xml:space="preserve">, 20 </w:t>
      </w:r>
      <w:r w:rsidR="00F330F5" w:rsidRPr="008E745B">
        <w:t xml:space="preserve">and 21 </w:t>
      </w:r>
      <w:r w:rsidR="00AB2DF0" w:rsidRPr="008E745B">
        <w:t xml:space="preserve">should </w:t>
      </w:r>
      <w:r w:rsidRPr="008E745B">
        <w:t xml:space="preserve">apply to TCSPs when on behalf of or for a client, they engage in a transaction in relation to the activities described to in R.22 above. These Recommendations relate to internal AML/CFT controls, measures to be taken for countries that do not or insufficiently comply with the FATF Recommendations, reporting of suspicious transactions and tipping off and confidentiality provisions. </w:t>
      </w:r>
      <w:r w:rsidR="00BC6E6D" w:rsidRPr="008E745B">
        <w:t xml:space="preserve">Section III provides further guidance on the application of R.22 and R.23 obligations to </w:t>
      </w:r>
      <w:r w:rsidR="00230D8E" w:rsidRPr="008E745B">
        <w:t>TCSPs</w:t>
      </w:r>
      <w:r w:rsidR="00BC6E6D" w:rsidRPr="008E745B">
        <w:t>.</w:t>
      </w:r>
    </w:p>
    <w:p w14:paraId="05D865B0" w14:textId="77777777" w:rsidR="002A194C" w:rsidRPr="002A194C" w:rsidRDefault="0098261F" w:rsidP="008E745B">
      <w:pPr>
        <w:pStyle w:val="Para"/>
        <w:rPr>
          <w:b/>
          <w:bCs/>
          <w:color w:val="4E81BD"/>
          <w:kern w:val="28"/>
          <w:sz w:val="28"/>
          <w:lang w:eastAsia="zh-CN"/>
        </w:rPr>
      </w:pPr>
      <w:r w:rsidRPr="008E745B">
        <w:t xml:space="preserve">Countries should identify the most appropriate regulatory regime, tailored to address </w:t>
      </w:r>
      <w:r w:rsidR="00705B1A" w:rsidRPr="008E745B">
        <w:t xml:space="preserve">relevant ML/TF </w:t>
      </w:r>
      <w:r w:rsidRPr="008E745B">
        <w:t>risks, which takes into</w:t>
      </w:r>
      <w:r w:rsidRPr="0001454A">
        <w:t xml:space="preserve"> consid</w:t>
      </w:r>
      <w:r w:rsidR="00705B1A" w:rsidRPr="0001454A">
        <w:t>eration the activities and applicable code</w:t>
      </w:r>
      <w:r w:rsidRPr="0001454A">
        <w:t xml:space="preserve"> of conduct for TCSPs</w:t>
      </w:r>
      <w:r w:rsidR="00705B1A" w:rsidRPr="0001454A">
        <w:t>.</w:t>
      </w:r>
    </w:p>
    <w:p w14:paraId="11378209" w14:textId="77777777" w:rsidR="002A194C" w:rsidRPr="000F5C84" w:rsidRDefault="002A194C" w:rsidP="008E745B">
      <w:pPr>
        <w:pStyle w:val="Heading2"/>
      </w:pPr>
      <w:bookmarkStart w:id="43" w:name="_Toc1994916"/>
      <w:r w:rsidRPr="008E745B">
        <w:t>Application</w:t>
      </w:r>
      <w:r w:rsidRPr="000F5C84">
        <w:t xml:space="preserve"> of</w:t>
      </w:r>
      <w:r>
        <w:t xml:space="preserve"> this</w:t>
      </w:r>
      <w:r w:rsidRPr="000F5C84">
        <w:t xml:space="preserve"> Guidance</w:t>
      </w:r>
      <w:bookmarkEnd w:id="43"/>
    </w:p>
    <w:p w14:paraId="51A097EF" w14:textId="4BB14C12" w:rsidR="001421D9" w:rsidRPr="001421D9" w:rsidRDefault="002A194C" w:rsidP="008E745B">
      <w:pPr>
        <w:pStyle w:val="Para"/>
        <w:rPr>
          <w:b/>
          <w:bCs/>
          <w:color w:val="4E81BD"/>
          <w:kern w:val="28"/>
          <w:sz w:val="28"/>
          <w:lang w:eastAsia="zh-CN"/>
        </w:rPr>
      </w:pPr>
      <w:r w:rsidRPr="002A194C">
        <w:t>Many</w:t>
      </w:r>
      <w:r>
        <w:t xml:space="preserve"> aspects of this guidance on applying a RBA to AML/CFT may also apply in the context of predicate offences, particularly for other financial crimes such as tax crimes. The ability to apply the RBA effectively to relevant predicate offences will also reinforce the AML/CFT obligations. TCSPs may also have specific obligations in respect of identifying risks of predicate offences such as tax crimes, and supervisors may have a role to play in oversight and enforcement of those crimes. Therefore, in addition to this guidance, TCSPs and supervisors should have regard to other sources of guidance that may be relevant in managing the risks of predicate offences.</w:t>
      </w:r>
      <w:r w:rsidRPr="006565D7">
        <w:rPr>
          <w:lang w:eastAsia="en-GB"/>
        </w:rPr>
        <w:t xml:space="preserve"> </w:t>
      </w:r>
    </w:p>
    <w:p w14:paraId="61BF5C21" w14:textId="5D8FA5C1" w:rsidR="0098261F" w:rsidRDefault="0098261F" w:rsidP="008E745B">
      <w:pPr>
        <w:pStyle w:val="Heading1"/>
      </w:pPr>
      <w:bookmarkStart w:id="44" w:name="_Toc525561734"/>
      <w:bookmarkStart w:id="45" w:name="_Toc525562428"/>
      <w:bookmarkStart w:id="46" w:name="_Toc1994917"/>
      <w:r>
        <w:t>Section II – T</w:t>
      </w:r>
      <w:r w:rsidR="00346207">
        <w:t>he</w:t>
      </w:r>
      <w:r w:rsidR="00346207" w:rsidDel="00346207">
        <w:t xml:space="preserve"> </w:t>
      </w:r>
      <w:r w:rsidR="00346207">
        <w:t>RBA</w:t>
      </w:r>
      <w:r>
        <w:t xml:space="preserve"> to AML/CFT</w:t>
      </w:r>
      <w:bookmarkEnd w:id="44"/>
      <w:bookmarkEnd w:id="45"/>
      <w:bookmarkEnd w:id="46"/>
    </w:p>
    <w:p w14:paraId="053E41CD" w14:textId="7B0FDD37" w:rsidR="0098261F" w:rsidRDefault="0098261F" w:rsidP="0098261F">
      <w:pPr>
        <w:pStyle w:val="Heading2"/>
      </w:pPr>
      <w:bookmarkStart w:id="47" w:name="_Toc525561735"/>
      <w:bookmarkStart w:id="48" w:name="_Toc525562429"/>
      <w:bookmarkStart w:id="49" w:name="_Toc1994918"/>
      <w:r>
        <w:t>What is the risk-based approach?</w:t>
      </w:r>
      <w:bookmarkEnd w:id="47"/>
      <w:bookmarkEnd w:id="48"/>
      <w:bookmarkEnd w:id="49"/>
    </w:p>
    <w:p w14:paraId="406EF77E" w14:textId="6DCE11BF" w:rsidR="0098261F" w:rsidRPr="008E745B" w:rsidRDefault="0098261F" w:rsidP="008E745B">
      <w:pPr>
        <w:pStyle w:val="Para"/>
      </w:pPr>
      <w:r>
        <w:fldChar w:fldCharType="begin"/>
      </w:r>
      <w:r>
        <w:instrText xml:space="preserve"> MACROBUTTON PARADOC </w:instrText>
      </w:r>
      <w:r>
        <w:fldChar w:fldCharType="end"/>
      </w:r>
      <w:r w:rsidRPr="00932236">
        <w:rPr>
          <w:szCs w:val="22"/>
        </w:rPr>
        <w:t xml:space="preserve">The RBA to AML/CFT means that countries, competent authorities and </w:t>
      </w:r>
      <w:r w:rsidRPr="00440B41">
        <w:t>DNFBPs</w:t>
      </w:r>
      <w:r w:rsidRPr="00932236">
        <w:rPr>
          <w:szCs w:val="22"/>
        </w:rPr>
        <w:t>, including</w:t>
      </w:r>
      <w:r>
        <w:rPr>
          <w:szCs w:val="22"/>
        </w:rPr>
        <w:t xml:space="preserve"> </w:t>
      </w:r>
      <w:r w:rsidRPr="008E745B">
        <w:t xml:space="preserve">TCSPs should identify, assess and understand the ML/TF risks to which they are exposed and </w:t>
      </w:r>
      <w:r w:rsidR="00631C82" w:rsidRPr="008E745B">
        <w:t>reasonable and proportionate AML/CFT measures to effectively and efficiently mitigate and manage the risks</w:t>
      </w:r>
      <w:r w:rsidRPr="008E745B">
        <w:t>.</w:t>
      </w:r>
    </w:p>
    <w:p w14:paraId="7C196214" w14:textId="4918FDDD" w:rsidR="0098261F" w:rsidRPr="008E745B" w:rsidRDefault="0098261F" w:rsidP="008E745B">
      <w:pPr>
        <w:pStyle w:val="Para"/>
      </w:pPr>
      <w:r w:rsidRPr="008E745B">
        <w:t xml:space="preserve">For TCSPs, </w:t>
      </w:r>
      <w:r w:rsidR="00461F5F" w:rsidRPr="008E745B">
        <w:t xml:space="preserve">identifying and </w:t>
      </w:r>
      <w:r w:rsidRPr="008E745B">
        <w:t xml:space="preserve">maintaining an understanding of the ML/TF risk faced by the sector as well as specific to its services, its customer base, jurisdictions operated in, and the effectiveness of actual and potential risk controls that are or can be put in place, </w:t>
      </w:r>
      <w:r w:rsidRPr="008E745B">
        <w:lastRenderedPageBreak/>
        <w:t xml:space="preserve">will require </w:t>
      </w:r>
      <w:r w:rsidR="00461F5F" w:rsidRPr="008E745B">
        <w:t xml:space="preserve">the </w:t>
      </w:r>
      <w:r w:rsidRPr="008E745B">
        <w:t xml:space="preserve">investment of resources and training. For supervisors, this will also require maintaining an understanding of the ML/TF risks specific to their area of supervision, and the degree to which AML/CFT measures can </w:t>
      </w:r>
      <w:r w:rsidR="00C7338F" w:rsidRPr="008E745B">
        <w:t xml:space="preserve">reasonably </w:t>
      </w:r>
      <w:r w:rsidRPr="008E745B">
        <w:t xml:space="preserve">be expected to mitigate such risks. </w:t>
      </w:r>
    </w:p>
    <w:p w14:paraId="74D49A24" w14:textId="5A0216A2" w:rsidR="0098261F" w:rsidRPr="00932236" w:rsidRDefault="0098261F" w:rsidP="008E745B">
      <w:pPr>
        <w:pStyle w:val="Para"/>
        <w:rPr>
          <w:szCs w:val="22"/>
        </w:rPr>
      </w:pPr>
      <w:r w:rsidRPr="008E745B">
        <w:t>The RBA is not a “zero failure” approach; there may be occasions where a</w:t>
      </w:r>
      <w:r w:rsidR="00521577" w:rsidRPr="008E745B">
        <w:t xml:space="preserve"> TCSP</w:t>
      </w:r>
      <w:r w:rsidRPr="008E745B">
        <w:t xml:space="preserve"> has taken reasonable </w:t>
      </w:r>
      <w:r w:rsidR="00521577" w:rsidRPr="008E745B">
        <w:t xml:space="preserve">and proportionate </w:t>
      </w:r>
      <w:r w:rsidRPr="008E745B">
        <w:t xml:space="preserve">AML/CFT measures to identify and mitigate risks, but is still used for ML or TF purposes in isolated instances. </w:t>
      </w:r>
      <w:r w:rsidR="00521577" w:rsidRPr="008E745B">
        <w:t xml:space="preserve">Although </w:t>
      </w:r>
      <w:r w:rsidRPr="008E745B">
        <w:t>there are limits to any RBA, ML/TF is a real and serious</w:t>
      </w:r>
      <w:r w:rsidRPr="00440B41">
        <w:t xml:space="preserve"> problem </w:t>
      </w:r>
      <w:r w:rsidR="00521577" w:rsidRPr="00440B41">
        <w:t>that</w:t>
      </w:r>
      <w:r>
        <w:rPr>
          <w:szCs w:val="22"/>
          <w:lang w:eastAsia="en-GB"/>
        </w:rPr>
        <w:t xml:space="preserve"> TCSPs must address so that they do not, unwittingly or otherwise, encourage or facilitate it.</w:t>
      </w:r>
    </w:p>
    <w:p w14:paraId="1B2A411B" w14:textId="772388E6" w:rsidR="0098261F" w:rsidRDefault="0098261F" w:rsidP="008E745B">
      <w:pPr>
        <w:pStyle w:val="Heading2"/>
      </w:pPr>
      <w:bookmarkStart w:id="50" w:name="_Toc525561736"/>
      <w:bookmarkStart w:id="51" w:name="_Toc525562430"/>
      <w:bookmarkStart w:id="52" w:name="_Toc1994919"/>
      <w:r>
        <w:t xml:space="preserve">The </w:t>
      </w:r>
      <w:r w:rsidRPr="008E745B">
        <w:t>rationale</w:t>
      </w:r>
      <w:r>
        <w:t xml:space="preserve"> for the </w:t>
      </w:r>
      <w:r w:rsidR="00432D40">
        <w:t>RBA</w:t>
      </w:r>
      <w:bookmarkEnd w:id="50"/>
      <w:bookmarkEnd w:id="51"/>
      <w:bookmarkEnd w:id="52"/>
    </w:p>
    <w:p w14:paraId="3F105D2F" w14:textId="68D6D077" w:rsidR="0098261F" w:rsidRPr="008E745B" w:rsidRDefault="0098261F" w:rsidP="008E745B">
      <w:pPr>
        <w:pStyle w:val="Para"/>
      </w:pPr>
      <w:r>
        <w:fldChar w:fldCharType="begin"/>
      </w:r>
      <w:r>
        <w:instrText xml:space="preserve"> MACROBUTTON PARADOC </w:instrText>
      </w:r>
      <w:r>
        <w:fldChar w:fldCharType="end"/>
      </w:r>
      <w:r>
        <w:t xml:space="preserve">In 2012, the </w:t>
      </w:r>
      <w:r w:rsidRPr="008E745B">
        <w:t xml:space="preserve">FATF updated its Recommendations to keep pace with evolving risk and strengthen global safeguards. Its purposes remain to protect the integrity of the financial system by providing governments with </w:t>
      </w:r>
      <w:r w:rsidR="00461F5F" w:rsidRPr="008E745B">
        <w:t xml:space="preserve">updated </w:t>
      </w:r>
      <w:r w:rsidRPr="008E745B">
        <w:t xml:space="preserve">tools needed to take action against financial crime. </w:t>
      </w:r>
    </w:p>
    <w:p w14:paraId="71D3ACA3" w14:textId="4AB52E11" w:rsidR="0098261F" w:rsidRPr="008E745B" w:rsidRDefault="0098261F" w:rsidP="008E745B">
      <w:pPr>
        <w:pStyle w:val="Para"/>
      </w:pPr>
      <w:r w:rsidRPr="008E745B">
        <w:t>There was an increased emphasis on the RBA to AML/CFT, especially in preventive measures and supervision. Though the 2003 Recommendations provided for the application of a RBA in some areas, the 2012 Recommendations considered the RBA to be an essential foundation of a country’s AML/CFT framework.</w:t>
      </w:r>
      <w:r w:rsidR="00432D40">
        <w:rPr>
          <w:rStyle w:val="FootnoteReference"/>
        </w:rPr>
        <w:footnoteReference w:id="11"/>
      </w:r>
      <w:r w:rsidRPr="008E745B">
        <w:t xml:space="preserve"> </w:t>
      </w:r>
    </w:p>
    <w:p w14:paraId="6092DDE0" w14:textId="575EE9DE" w:rsidR="0098261F" w:rsidRPr="008E745B" w:rsidRDefault="0098261F" w:rsidP="008E745B">
      <w:pPr>
        <w:pStyle w:val="Para"/>
      </w:pPr>
      <w:r w:rsidRPr="008E745B">
        <w:t xml:space="preserve">The RBA allows countries, within the framework of the FATF </w:t>
      </w:r>
      <w:r w:rsidR="00521577" w:rsidRPr="008E745B">
        <w:t>Standards</w:t>
      </w:r>
      <w:r w:rsidRPr="008E745B">
        <w:t xml:space="preserve">, to adopt a more </w:t>
      </w:r>
      <w:r w:rsidR="00461F5F" w:rsidRPr="008E745B">
        <w:t>tailored</w:t>
      </w:r>
      <w:r w:rsidRPr="008E745B">
        <w:t xml:space="preserve"> set of measures in order to target their resources more effectively and </w:t>
      </w:r>
      <w:r w:rsidR="00521577" w:rsidRPr="008E745B">
        <w:t xml:space="preserve">efficiently and </w:t>
      </w:r>
      <w:r w:rsidRPr="008E745B">
        <w:t>apply preventive measures that are commensurate to the nature of risks.</w:t>
      </w:r>
    </w:p>
    <w:p w14:paraId="7D56D388" w14:textId="5CC60723" w:rsidR="0098261F" w:rsidRDefault="0098261F" w:rsidP="008E745B">
      <w:pPr>
        <w:pStyle w:val="Para"/>
      </w:pPr>
      <w:r w:rsidRPr="008E745B">
        <w:t xml:space="preserve">The application of a RBA is therefore essential for the effective implementation of the FATF </w:t>
      </w:r>
      <w:r w:rsidR="00521577" w:rsidRPr="008E745B">
        <w:t>S</w:t>
      </w:r>
      <w:r w:rsidRPr="008E745B">
        <w:t xml:space="preserve">tandards by countries </w:t>
      </w:r>
      <w:r>
        <w:t>and TCSPs.</w:t>
      </w:r>
      <w:r w:rsidR="00432D40">
        <w:rPr>
          <w:rStyle w:val="FootnoteReference"/>
        </w:rPr>
        <w:footnoteReference w:id="12"/>
      </w:r>
    </w:p>
    <w:p w14:paraId="06FDFD99" w14:textId="63B5241C" w:rsidR="0098261F" w:rsidRDefault="008E745B" w:rsidP="008E745B">
      <w:pPr>
        <w:pStyle w:val="Heading2"/>
      </w:pPr>
      <w:bookmarkStart w:id="53" w:name="_Toc525561737"/>
      <w:bookmarkStart w:id="54" w:name="_Toc525562431"/>
      <w:bookmarkStart w:id="55" w:name="_Toc1994920"/>
      <w:r>
        <w:t>A</w:t>
      </w:r>
      <w:r w:rsidR="0098261F">
        <w:t>pplication of the risk-based approach</w:t>
      </w:r>
      <w:bookmarkEnd w:id="53"/>
      <w:bookmarkEnd w:id="54"/>
      <w:bookmarkEnd w:id="55"/>
    </w:p>
    <w:p w14:paraId="58F68D5A" w14:textId="401DDB43" w:rsidR="0098261F" w:rsidRDefault="0098261F" w:rsidP="008E745B">
      <w:pPr>
        <w:pStyle w:val="Para"/>
      </w:pPr>
      <w:r>
        <w:t xml:space="preserve">The FATF </w:t>
      </w:r>
      <w:r w:rsidR="0004384D">
        <w:t xml:space="preserve">Recommendations </w:t>
      </w:r>
      <w:r>
        <w:t>do not predetermine any sector as higher risk. The standards identify sectors that may be vulnerable to ML/TF</w:t>
      </w:r>
      <w:r w:rsidR="00A57FE5">
        <w:t>.</w:t>
      </w:r>
      <w:r>
        <w:t xml:space="preserve"> </w:t>
      </w:r>
      <w:r w:rsidR="00A57FE5">
        <w:t xml:space="preserve">The </w:t>
      </w:r>
      <w:r>
        <w:t>overall risk should be determined through an assessment of the sector at a national level. Different entities within a sector will pose higher or lower risk depending on a variety of factors including products, services, customers, geography</w:t>
      </w:r>
      <w:r w:rsidR="0004384D">
        <w:t xml:space="preserve">, preventive measures </w:t>
      </w:r>
      <w:r>
        <w:t xml:space="preserve">and the strength of </w:t>
      </w:r>
      <w:r w:rsidR="00461F5F">
        <w:t xml:space="preserve">an </w:t>
      </w:r>
      <w:r>
        <w:t xml:space="preserve">entity’s compliance program. </w:t>
      </w:r>
    </w:p>
    <w:p w14:paraId="0599AD6F" w14:textId="5471720E" w:rsidR="0098261F" w:rsidRPr="0089626E" w:rsidRDefault="0098261F" w:rsidP="008E745B">
      <w:pPr>
        <w:pStyle w:val="Para"/>
      </w:pPr>
      <w:r w:rsidRPr="0089626E">
        <w:t>R</w:t>
      </w:r>
      <w:r w:rsidR="000B5CAA">
        <w:t>.</w:t>
      </w:r>
      <w:r w:rsidRPr="0089626E">
        <w:t>1 sets out the scope of application of the RBA as follows:</w:t>
      </w:r>
    </w:p>
    <w:p w14:paraId="739F38D6" w14:textId="5D7ED04C" w:rsidR="0098261F" w:rsidRPr="00F0432D" w:rsidRDefault="0098261F" w:rsidP="00533ED1">
      <w:pPr>
        <w:pStyle w:val="BulletedList"/>
        <w:numPr>
          <w:ilvl w:val="0"/>
          <w:numId w:val="133"/>
        </w:numPr>
      </w:pPr>
      <w:r w:rsidRPr="00F0432D">
        <w:lastRenderedPageBreak/>
        <w:t>Who should be subject to a country’s AML/CFT regime? In addition to the sectors and activities already included in the scope of the FATF Recommendations</w:t>
      </w:r>
      <w:r w:rsidR="00432D40">
        <w:rPr>
          <w:rStyle w:val="FootnoteReference"/>
        </w:rPr>
        <w:footnoteReference w:id="13"/>
      </w:r>
      <w:r w:rsidRPr="00F0432D">
        <w:t>, countries should extend their regime to additional institutions, sectors or activities if they pose a higher risk of ML/TF. Countries could also consider exempting certain institutions, sectors or activities from some AML/CFT obligations where specified conditions are met, such as proven low risk of ML/TF and in strictly limited and justified circumstances</w:t>
      </w:r>
      <w:r w:rsidRPr="00E01B64">
        <w:t>.</w:t>
      </w:r>
      <w:r w:rsidR="00966549" w:rsidRPr="00E01B64">
        <w:rPr>
          <w:rStyle w:val="FootnoteReference"/>
        </w:rPr>
        <w:footnoteReference w:id="14"/>
      </w:r>
    </w:p>
    <w:p w14:paraId="3E546ED1" w14:textId="6B73922C" w:rsidR="0098261F" w:rsidRPr="00F0432D" w:rsidRDefault="0098261F" w:rsidP="00533ED1">
      <w:pPr>
        <w:pStyle w:val="BulletedList"/>
        <w:numPr>
          <w:ilvl w:val="0"/>
          <w:numId w:val="133"/>
        </w:numPr>
      </w:pPr>
      <w:r w:rsidRPr="00F0432D">
        <w:t xml:space="preserve">How </w:t>
      </w:r>
      <w:r w:rsidR="00461F5F">
        <w:t xml:space="preserve">should </w:t>
      </w:r>
      <w:r w:rsidRPr="00F0432D">
        <w:t xml:space="preserve">those subject to the AML/CFT regime be supervised or monitored for compliance with this regime? Supervisors should ensure that TCSPs are implementing their obligations under R.1. AML/CFT supervisors should consider a TCSP’s own risk assessment and mitigation and acknowledge the degree of discretion allowed under the national RBA. </w:t>
      </w:r>
    </w:p>
    <w:p w14:paraId="482C122E" w14:textId="38AD2F2B" w:rsidR="0098261F" w:rsidRPr="00F0432D" w:rsidRDefault="0098261F" w:rsidP="00533ED1">
      <w:pPr>
        <w:pStyle w:val="BulletedList"/>
        <w:numPr>
          <w:ilvl w:val="0"/>
          <w:numId w:val="133"/>
        </w:numPr>
      </w:pPr>
      <w:r w:rsidRPr="00F0432D">
        <w:t xml:space="preserve">How </w:t>
      </w:r>
      <w:r w:rsidR="00461F5F">
        <w:t xml:space="preserve">should </w:t>
      </w:r>
      <w:r w:rsidRPr="00F0432D">
        <w:t xml:space="preserve">those subject to the AML/CFT regime be required to comply? The general principle of a RBA is that, where there are higher risks, enhanced measures should be taken to manage and mitigate those risks. The range, degree, frequency or intensity of preventive measures and controls conducted should be stronger in higher risk scenarios. </w:t>
      </w:r>
      <w:r w:rsidR="00461F5F">
        <w:t>TCSPs are required to apply each of the CDD measures under (a) to (d) below</w:t>
      </w:r>
      <w:r w:rsidR="00234746" w:rsidRPr="00E01B64">
        <w:rPr>
          <w:rStyle w:val="FootnoteReference"/>
        </w:rPr>
        <w:footnoteReference w:id="15"/>
      </w:r>
      <w:r w:rsidRPr="00E01B64">
        <w:t xml:space="preserve">: </w:t>
      </w:r>
      <w:r w:rsidR="00BC1B4A">
        <w:t>(</w:t>
      </w:r>
      <w:r w:rsidR="00461F5F" w:rsidRPr="00E01B64">
        <w:t>a</w:t>
      </w:r>
      <w:r w:rsidRPr="00F0432D">
        <w:t>) identification and verification of the customer’s identity; (</w:t>
      </w:r>
      <w:r w:rsidR="00461F5F">
        <w:t>b</w:t>
      </w:r>
      <w:r w:rsidRPr="00F0432D">
        <w:t>) identification of the beneficial owner and taking reasonable measures to verify the identity of beneficial owner; (</w:t>
      </w:r>
      <w:r w:rsidR="00461F5F">
        <w:t>c</w:t>
      </w:r>
      <w:r w:rsidRPr="00F0432D">
        <w:t>) understanding the purpose of the business relationship; and (</w:t>
      </w:r>
      <w:r w:rsidR="00461F5F">
        <w:t>d</w:t>
      </w:r>
      <w:r w:rsidRPr="00F0432D">
        <w:t xml:space="preserve">) on-going due diligence on the relationship. However, </w:t>
      </w:r>
      <w:r w:rsidR="00461F5F">
        <w:t xml:space="preserve">where the ML/TF risk is assessed as lower, </w:t>
      </w:r>
      <w:r w:rsidRPr="00F0432D">
        <w:t>the degree, frequency and/or the intensity of the controls conducted will be relatively lighter. Where risk is assessed at a standard level, the standard AML/CFT controls should apply.</w:t>
      </w:r>
    </w:p>
    <w:p w14:paraId="5DC248C6" w14:textId="28CDFBB0" w:rsidR="0098261F" w:rsidRPr="00F0432D" w:rsidRDefault="0098261F" w:rsidP="00533ED1">
      <w:pPr>
        <w:pStyle w:val="BulletedList"/>
        <w:numPr>
          <w:ilvl w:val="0"/>
          <w:numId w:val="133"/>
        </w:numPr>
      </w:pPr>
      <w:r w:rsidRPr="00F0432D">
        <w:t>Consideration of the engagement in client relationships: TCSPs are not obliged to avoid risk entirely. Even if the services they provide to their clients are considered vulnerable to the risks of ML/TF based on risk assessment, it does not mean that all TCSPs and all their clients or services pose a higher risk when taking account</w:t>
      </w:r>
      <w:r w:rsidR="00AB2DF0">
        <w:t xml:space="preserve"> of</w:t>
      </w:r>
      <w:r w:rsidRPr="00F0432D">
        <w:t xml:space="preserve"> the risk mitigating measures that have been put in place. </w:t>
      </w:r>
    </w:p>
    <w:p w14:paraId="016EBA83" w14:textId="095EF848" w:rsidR="0098261F" w:rsidRPr="00626658" w:rsidRDefault="0098261F" w:rsidP="00533ED1">
      <w:pPr>
        <w:pStyle w:val="BulletedList"/>
        <w:numPr>
          <w:ilvl w:val="0"/>
          <w:numId w:val="133"/>
        </w:numPr>
      </w:pPr>
      <w:r w:rsidRPr="00F0432D">
        <w:t xml:space="preserve">Importance of TCSPs to the overall economy: TCSPs often play significant roles in the legal and economic life of a country. The role of TCSPs in supporting the business registration process, finalising documentation for that and providing professional advice is vital. </w:t>
      </w:r>
      <w:r w:rsidR="007502B4">
        <w:t>T</w:t>
      </w:r>
      <w:r w:rsidRPr="00F0432D">
        <w:t>he risks associated with any type of client group is not static and the expectation is that within a client group, based on a variety of factors, individual clients could also be classified into risk categories, such as low, medium or high risk</w:t>
      </w:r>
      <w:r w:rsidR="007502B4">
        <w:t xml:space="preserve"> (see section 3.1 below for a detailed description)</w:t>
      </w:r>
      <w:r w:rsidRPr="00F0432D">
        <w:t>. Measures to mitigate risk should be applied accordingly</w:t>
      </w:r>
      <w:r w:rsidRPr="00626658">
        <w:t>.</w:t>
      </w:r>
    </w:p>
    <w:p w14:paraId="0FF5DA42" w14:textId="77777777" w:rsidR="0098261F" w:rsidRDefault="0098261F" w:rsidP="00E01B64">
      <w:pPr>
        <w:pStyle w:val="Heading2"/>
        <w:spacing w:before="120" w:after="120"/>
      </w:pPr>
      <w:bookmarkStart w:id="56" w:name="_Toc525561738"/>
      <w:bookmarkStart w:id="57" w:name="_Toc525562432"/>
      <w:bookmarkStart w:id="58" w:name="_Toc1994921"/>
      <w:r>
        <w:t>Challenges</w:t>
      </w:r>
      <w:bookmarkEnd w:id="56"/>
      <w:bookmarkEnd w:id="57"/>
      <w:bookmarkEnd w:id="58"/>
    </w:p>
    <w:p w14:paraId="65C2BEF6" w14:textId="77777777" w:rsidR="0098261F" w:rsidRPr="00776E14" w:rsidRDefault="0098261F" w:rsidP="005462DF">
      <w:pPr>
        <w:pStyle w:val="Para"/>
      </w:pPr>
      <w:r>
        <w:t>Implementing a RBA can present a number of challenges for TCSPs in</w:t>
      </w:r>
      <w:r w:rsidRPr="00776E14">
        <w:t xml:space="preserve"> </w:t>
      </w:r>
      <w:r>
        <w:t xml:space="preserve">identifying what necessary measures they need to take. A RBA </w:t>
      </w:r>
      <w:r w:rsidRPr="00776E14">
        <w:t>requires resources and expertise</w:t>
      </w:r>
      <w:r>
        <w:t xml:space="preserve">, both at a country and institutional level, </w:t>
      </w:r>
      <w:r w:rsidRPr="00776E14">
        <w:t xml:space="preserve">to </w:t>
      </w:r>
      <w:r w:rsidRPr="005462DF">
        <w:t>gather</w:t>
      </w:r>
      <w:r w:rsidRPr="00776E14">
        <w:t xml:space="preserve"> and interpret information on risks</w:t>
      </w:r>
      <w:r>
        <w:t xml:space="preserve">, </w:t>
      </w:r>
      <w:r w:rsidRPr="00776E14">
        <w:t xml:space="preserve">to develop </w:t>
      </w:r>
      <w:r>
        <w:lastRenderedPageBreak/>
        <w:t xml:space="preserve">and maintain effective </w:t>
      </w:r>
      <w:r w:rsidRPr="00776E14">
        <w:t>procedures and systems</w:t>
      </w:r>
      <w:r>
        <w:t>,</w:t>
      </w:r>
      <w:r w:rsidRPr="00776E14">
        <w:t xml:space="preserve"> and to train personnel. </w:t>
      </w:r>
      <w:r>
        <w:t xml:space="preserve">A RBA is also reliant on individuals exercising </w:t>
      </w:r>
      <w:r w:rsidRPr="00776E14">
        <w:t xml:space="preserve">sound and well-trained judgement </w:t>
      </w:r>
      <w:r>
        <w:t xml:space="preserve">when </w:t>
      </w:r>
      <w:r w:rsidRPr="00776E14">
        <w:t>design</w:t>
      </w:r>
      <w:r>
        <w:t>ing</w:t>
      </w:r>
      <w:r w:rsidRPr="00776E14">
        <w:t xml:space="preserve"> and </w:t>
      </w:r>
      <w:r>
        <w:t xml:space="preserve">implementing </w:t>
      </w:r>
      <w:r w:rsidRPr="00776E14">
        <w:t xml:space="preserve">procedures and systems. It will </w:t>
      </w:r>
      <w:r>
        <w:t xml:space="preserve">also lead to a </w:t>
      </w:r>
      <w:r w:rsidRPr="00776E14">
        <w:t>diversity in practice</w:t>
      </w:r>
      <w:r>
        <w:t xml:space="preserve">, although this can result in innovative solutions to address areas of higher risk. On the other hand, TCSPs may be uncertain as to how to comply with the regulatory framework itself and the TCSP sector may find it difficult to apply a </w:t>
      </w:r>
      <w:r w:rsidRPr="00776E14">
        <w:t xml:space="preserve">uniform </w:t>
      </w:r>
      <w:r>
        <w:t>approach.</w:t>
      </w:r>
    </w:p>
    <w:p w14:paraId="7B24D66B" w14:textId="5286152C" w:rsidR="0098261F" w:rsidRPr="005462DF" w:rsidRDefault="0098261F" w:rsidP="005462DF">
      <w:pPr>
        <w:pStyle w:val="Para"/>
      </w:pPr>
      <w:r>
        <w:t>TCSPs</w:t>
      </w:r>
      <w:r w:rsidRPr="00776E14">
        <w:t xml:space="preserve"> </w:t>
      </w:r>
      <w:r>
        <w:t xml:space="preserve">need to </w:t>
      </w:r>
      <w:r w:rsidRPr="00776E14">
        <w:t xml:space="preserve">have a sound understanding of the risks and </w:t>
      </w:r>
      <w:r>
        <w:t xml:space="preserve">should be </w:t>
      </w:r>
      <w:r w:rsidRPr="00776E14">
        <w:t xml:space="preserve">able to exercise sound judgement. This requires </w:t>
      </w:r>
      <w:r>
        <w:t>the profession, and the individuals within it, to build</w:t>
      </w:r>
      <w:r w:rsidRPr="00776E14">
        <w:t xml:space="preserve"> expertise through </w:t>
      </w:r>
      <w:r>
        <w:t xml:space="preserve">experience </w:t>
      </w:r>
      <w:r w:rsidRPr="005462DF">
        <w:t xml:space="preserve">and training. If a TCSP attempts to adopt a </w:t>
      </w:r>
      <w:r w:rsidR="007502B4" w:rsidRPr="005462DF">
        <w:t>RBA</w:t>
      </w:r>
      <w:r w:rsidRPr="005462DF">
        <w:t xml:space="preserve"> without sufficient expertise or understanding and knowledge of the risks faced by the sector, they may make flawed judgements. TCSPs may over-estimate risk, which could lead to wasteful use of resources, or they may under-estimate risk, </w:t>
      </w:r>
      <w:r w:rsidR="00452222" w:rsidRPr="005462DF">
        <w:t xml:space="preserve">and </w:t>
      </w:r>
      <w:r w:rsidRPr="005462DF">
        <w:t>therefore deploy insufficient resources, thereby creating vulnerabilities.</w:t>
      </w:r>
    </w:p>
    <w:p w14:paraId="4F42B05F" w14:textId="3DBB1056" w:rsidR="0098261F" w:rsidRPr="005462DF" w:rsidRDefault="0098261F" w:rsidP="005462DF">
      <w:pPr>
        <w:pStyle w:val="Para"/>
      </w:pPr>
      <w:r w:rsidRPr="005462DF">
        <w:t>TCSPs may find that some staff members are uncomfortable making risk-based judgements. This may lead to overly cautious decisions, or disproportionate time spent documenting the rationale behind a decision. It may also encourage a ‘tick-box’ approach to risk assessment.</w:t>
      </w:r>
    </w:p>
    <w:p w14:paraId="4C74FCC2" w14:textId="3379AEFD" w:rsidR="0098261F" w:rsidRPr="005462DF" w:rsidRDefault="0098261F" w:rsidP="005462DF">
      <w:pPr>
        <w:pStyle w:val="Para"/>
      </w:pPr>
      <w:r w:rsidRPr="005462DF">
        <w:t>Developing sound judgement is reliant on good information and intelligence sharing by designated competent authorities and SRBs. The existence of good practice guidance, training, industry studies and other available information and materials will also assist the TCSP</w:t>
      </w:r>
      <w:r w:rsidR="007502B4" w:rsidRPr="005462DF">
        <w:t>s</w:t>
      </w:r>
      <w:r w:rsidRPr="005462DF">
        <w:t xml:space="preserve"> to make sound risk-based judgements. TCSPs must be able to access this information and guidance easily so that they have the best possible knowledge on which to base their judgements.</w:t>
      </w:r>
    </w:p>
    <w:p w14:paraId="528AA44E" w14:textId="0B2CCAE8" w:rsidR="00F0432D" w:rsidRDefault="0098261F" w:rsidP="005462DF">
      <w:pPr>
        <w:pStyle w:val="Para"/>
      </w:pPr>
      <w:r w:rsidRPr="005462DF">
        <w:t xml:space="preserve">The services and products TCSPs provide to their clients vary and are not wholly of </w:t>
      </w:r>
      <w:r w:rsidR="00452222" w:rsidRPr="005462DF">
        <w:t xml:space="preserve">a </w:t>
      </w:r>
      <w:r w:rsidRPr="005462DF">
        <w:t xml:space="preserve">financial nature. The FATF Recommendations apply equally to TCSPs when they are engaged in </w:t>
      </w:r>
      <w:r w:rsidR="00452222" w:rsidRPr="005462DF">
        <w:t xml:space="preserve">a </w:t>
      </w:r>
      <w:r w:rsidR="007502B4" w:rsidRPr="005462DF">
        <w:t>specified</w:t>
      </w:r>
      <w:r w:rsidRPr="005462DF">
        <w:t xml:space="preserve"> activity, including obligations related to </w:t>
      </w:r>
      <w:r w:rsidR="007502B4" w:rsidRPr="005462DF">
        <w:t>CDD</w:t>
      </w:r>
      <w:r w:rsidRPr="005462DF">
        <w:t>, reporting of suspicious transactions and associated prohibitions on tipping</w:t>
      </w:r>
      <w:r w:rsidR="007502B4" w:rsidRPr="005462DF">
        <w:t>-</w:t>
      </w:r>
      <w:r w:rsidRPr="005462DF">
        <w:t>off, record-keeping, identification and risk management related to politically exposed persons</w:t>
      </w:r>
      <w:r>
        <w:t xml:space="preserve"> or new technologies, and reliance on other third-party </w:t>
      </w:r>
      <w:r w:rsidRPr="00C672D7">
        <w:t>financial institutions and DNFBPs</w:t>
      </w:r>
      <w:r>
        <w:t>.</w:t>
      </w:r>
    </w:p>
    <w:tbl>
      <w:tblPr>
        <w:tblW w:w="5000" w:type="pct"/>
        <w:jc w:val="center"/>
        <w:tblBorders>
          <w:top w:val="single" w:sz="4" w:space="0" w:color="auto"/>
          <w:left w:val="single" w:sz="4" w:space="0" w:color="auto"/>
          <w:bottom w:val="single" w:sz="4" w:space="0" w:color="auto"/>
          <w:right w:val="single" w:sz="4" w:space="0" w:color="auto"/>
        </w:tblBorders>
        <w:shd w:val="clear" w:color="auto" w:fill="EDF0F7"/>
        <w:tblCellMar>
          <w:left w:w="0" w:type="dxa"/>
          <w:bottom w:w="142" w:type="dxa"/>
          <w:right w:w="0" w:type="dxa"/>
        </w:tblCellMar>
        <w:tblLook w:val="0000" w:firstRow="0" w:lastRow="0" w:firstColumn="0" w:lastColumn="0" w:noHBand="0" w:noVBand="0"/>
      </w:tblPr>
      <w:tblGrid>
        <w:gridCol w:w="9289"/>
      </w:tblGrid>
      <w:tr w:rsidR="005462DF" w:rsidRPr="00961F86" w14:paraId="3AC6F2AE" w14:textId="77777777" w:rsidTr="005462DF">
        <w:trPr>
          <w:jc w:val="center"/>
        </w:trPr>
        <w:tc>
          <w:tcPr>
            <w:tcW w:w="5000" w:type="pct"/>
            <w:shd w:val="clear" w:color="auto" w:fill="EDF0F7"/>
          </w:tcPr>
          <w:p w14:paraId="1D718711" w14:textId="0060F0DC" w:rsidR="005462DF" w:rsidRPr="00C45F4D" w:rsidRDefault="005462DF" w:rsidP="00E01B64">
            <w:pPr>
              <w:pStyle w:val="Caption"/>
              <w:keepNext w:val="0"/>
              <w:spacing w:before="120" w:after="120"/>
            </w:pPr>
            <w:r w:rsidRPr="00C45F4D">
              <w:t>Box</w:t>
            </w:r>
            <w:r>
              <w:t> </w:t>
            </w:r>
            <w:r w:rsidR="00BC1B4A">
              <w:t>1</w:t>
            </w:r>
            <w:r w:rsidRPr="00C45F4D">
              <w:t xml:space="preserve">. </w:t>
            </w:r>
            <w:r w:rsidRPr="005462DF">
              <w:t>Particular RBA Challenges for TCSPs</w:t>
            </w:r>
          </w:p>
          <w:p w14:paraId="07024591" w14:textId="77777777" w:rsidR="005462DF" w:rsidRPr="005462DF" w:rsidRDefault="005462DF" w:rsidP="00E01B64">
            <w:pPr>
              <w:pStyle w:val="Para0"/>
              <w:spacing w:line="216" w:lineRule="auto"/>
            </w:pPr>
            <w:r w:rsidRPr="005462DF">
              <w:rPr>
                <w:rStyle w:val="ParaChar0"/>
                <w:b/>
                <w:i/>
              </w:rPr>
              <w:t>Culture of compliance and adequate resources</w:t>
            </w:r>
            <w:r w:rsidRPr="005462DF">
              <w:rPr>
                <w:rStyle w:val="ParaChar0"/>
              </w:rPr>
              <w:t xml:space="preserve">. Implementing a RBA requires that TCSPs have a sound understanding of the risks and are able to exercise sound judgement. Above all, TCSP and their management must recognise fully the importance of a culture of compliance across the organisation and ensure sufficient resources are devoted to its implementation appropriate to the size, scale and activities of the organisation. This requires the building of expertise including for example, through training, recruitment, </w:t>
            </w:r>
            <w:r w:rsidRPr="005462DF">
              <w:t xml:space="preserve">taking professional advice and ‘learning by doing’. It also requires the allocation of necessary resources to gather and interpret information on risks, both at the country and institutional levels, and to develop procedures and systems, including ensuring effective decision-making. The process will always benefit from information sharing by relevant competent authorities and SRBs. The provision of good practice guidance by competent authorities and SRBs is also valuable. </w:t>
            </w:r>
          </w:p>
          <w:p w14:paraId="7D339254" w14:textId="77777777" w:rsidR="005462DF" w:rsidRPr="005462DF" w:rsidRDefault="005462DF" w:rsidP="00E01B64">
            <w:pPr>
              <w:pStyle w:val="Para0"/>
              <w:spacing w:line="216" w:lineRule="auto"/>
            </w:pPr>
            <w:r w:rsidRPr="005462DF">
              <w:t>S</w:t>
            </w:r>
            <w:r w:rsidRPr="005462DF">
              <w:rPr>
                <w:b/>
                <w:i/>
              </w:rPr>
              <w:t xml:space="preserve">ignificant variation in services and clients. </w:t>
            </w:r>
            <w:r w:rsidRPr="005462DF">
              <w:t xml:space="preserve">TCSPs may vary substantially in the breadth and nature of services provided and the clientele they serve, as well as the size, focus, ownership profile and sophistication of the firm and its employees. In implementing the RBA, TCSPs should make reasonable judgements for their particular services and activities. This may mean that no two TCSPs are likely to adopt the same detailed practices. </w:t>
            </w:r>
          </w:p>
          <w:p w14:paraId="3E81ABBC" w14:textId="77777777" w:rsidR="005462DF" w:rsidRPr="005462DF" w:rsidRDefault="005462DF" w:rsidP="00E01B64">
            <w:pPr>
              <w:pStyle w:val="Para0"/>
              <w:spacing w:line="216" w:lineRule="auto"/>
            </w:pPr>
            <w:r w:rsidRPr="005462DF">
              <w:rPr>
                <w:b/>
                <w:i/>
              </w:rPr>
              <w:lastRenderedPageBreak/>
              <w:t>Appropriate mitigation measures</w:t>
            </w:r>
            <w:r w:rsidRPr="005462DF">
              <w:t xml:space="preserve"> will also depend on the nature and risks arising from the service provider’s role and involvement. Circumstances may vary considerably between providers who represent clients directly as trustees or directors controlling the affairs of the legal arrangement or legal person to those that are engaged for distinct purposes such as provision of registered office only services and who have to rely on information on the company’s activities from external directors.</w:t>
            </w:r>
          </w:p>
          <w:p w14:paraId="0FA611A8" w14:textId="77777777" w:rsidR="005462DF" w:rsidRDefault="005462DF" w:rsidP="005462DF">
            <w:pPr>
              <w:pStyle w:val="Para0"/>
            </w:pPr>
            <w:r w:rsidRPr="005462DF">
              <w:rPr>
                <w:b/>
                <w:i/>
              </w:rPr>
              <w:t>Transparency of beneficial ownership on legal persons and arrangemen</w:t>
            </w:r>
            <w:r w:rsidRPr="00E910B8">
              <w:rPr>
                <w:b/>
                <w:i/>
              </w:rPr>
              <w:t>ts</w:t>
            </w:r>
            <w:r w:rsidRPr="00E910B8">
              <w:rPr>
                <w:b/>
              </w:rPr>
              <w:t>.</w:t>
            </w:r>
            <w:r w:rsidRPr="005462DF">
              <w:t xml:space="preserve"> TCSPs are involved in the formation, management, or administration of legal entities and arrangements, though in many countries any legal or natural person also may be able to conduct these activities. Where TCSPs do play this “gatekeeper” role, they may be challenged in obtaining and keeping current and accurate beneficial ownership information depending upon the nature and activities of their clientele. Other challenges may arise when on-boarding new clients with minimal economic activity associated with the legal entity and/or its owners, controlling persons, or beneficial owners, established in another jurisdiction. Finally, whether the source of beneficial ownership information is a public registry, another third party source, or the client, there is always potential risk in the correctness of the information, in particular where the underlying information has been self-reported. Those risks notwithstanding, the start point in determining beneficial ownership should almost always start with questions to the immediate client, having determined that none of the relevant exceptions to ascertaining beneficial ownership apply, e.g., the client is a publicly listed company. The information provided by the client should then be appropriately confirmed by reference to public registers and other third party sources where possible. This may require further and clarifying questions to be put to the immediate client. The goal is to ensure that the TCSP is reasonably satisfied about the identity of the beneficial owner. For more practical</w:t>
            </w:r>
            <w:r>
              <w:rPr>
                <w:lang w:eastAsia="en-GB"/>
              </w:rPr>
              <w:t xml:space="preserve"> guidance on beneficial ownership, refer to the guidance in Box 2.</w:t>
            </w:r>
          </w:p>
          <w:p w14:paraId="5A424110" w14:textId="71002302" w:rsidR="005462DF" w:rsidRPr="00961F86" w:rsidRDefault="005462DF" w:rsidP="005462DF">
            <w:pPr>
              <w:pStyle w:val="Para0"/>
            </w:pPr>
            <w:r w:rsidRPr="006A2061">
              <w:rPr>
                <w:b/>
                <w:i/>
              </w:rPr>
              <w:t xml:space="preserve">Risk of </w:t>
            </w:r>
            <w:r>
              <w:rPr>
                <w:b/>
                <w:i/>
              </w:rPr>
              <w:t>criminality</w:t>
            </w:r>
            <w:r w:rsidRPr="006A2061">
              <w:rPr>
                <w:b/>
                <w:i/>
              </w:rPr>
              <w:t>.</w:t>
            </w:r>
            <w:r>
              <w:t xml:space="preserve"> TCSPs must be alert to ML/TF risks posed by the services they provide to avoid the possibility that they may commit or become an accessory to the commission of a substantive offence of ML/TF. It is important that TCSP firms protect themselves from misuse by criminals and terrorists. This includes the sources and methods used for providing payments for the TCSP’s services, which may dictate greater focus on monitoring of clients and their funds for unusual or suspicious activity.</w:t>
            </w:r>
            <w:r w:rsidRPr="00093AF1">
              <w:t>.</w:t>
            </w:r>
          </w:p>
        </w:tc>
      </w:tr>
    </w:tbl>
    <w:p w14:paraId="247FA1C5" w14:textId="20E4612A" w:rsidR="0098261F" w:rsidRDefault="0098261F" w:rsidP="005462DF">
      <w:pPr>
        <w:pStyle w:val="Heading2"/>
        <w:rPr>
          <w:lang w:val="en-US"/>
        </w:rPr>
      </w:pPr>
      <w:bookmarkStart w:id="59" w:name="_Toc525561739"/>
      <w:bookmarkStart w:id="60" w:name="_Toc525562433"/>
      <w:bookmarkStart w:id="61" w:name="_Toc1994922"/>
      <w:r>
        <w:rPr>
          <w:lang w:val="en-US"/>
        </w:rPr>
        <w:lastRenderedPageBreak/>
        <w:t xml:space="preserve">Allocating </w:t>
      </w:r>
      <w:r w:rsidRPr="00932236">
        <w:t>responsibility</w:t>
      </w:r>
      <w:r>
        <w:rPr>
          <w:lang w:val="en-US"/>
        </w:rPr>
        <w:t xml:space="preserve"> under a RBA</w:t>
      </w:r>
      <w:bookmarkEnd w:id="59"/>
      <w:bookmarkEnd w:id="60"/>
      <w:bookmarkEnd w:id="61"/>
    </w:p>
    <w:p w14:paraId="4F6DD2F7" w14:textId="6848AF15" w:rsidR="0098261F" w:rsidRPr="005462DF" w:rsidRDefault="0098261F" w:rsidP="005462DF">
      <w:pPr>
        <w:pStyle w:val="Para"/>
      </w:pPr>
      <w:r w:rsidRPr="00932236">
        <w:t xml:space="preserve">An </w:t>
      </w:r>
      <w:r w:rsidRPr="005462DF">
        <w:t>effective risk-based regime builds on and reflects a country’s legal and regulatory approach, the nature, diversity and maturity of its financial sector and its risk profile. TCSPs</w:t>
      </w:r>
      <w:r w:rsidR="00461F5F" w:rsidRPr="005462DF">
        <w:t xml:space="preserve"> should identify and assess </w:t>
      </w:r>
      <w:r w:rsidRPr="005462DF">
        <w:t xml:space="preserve">their own ML/TF risk </w:t>
      </w:r>
      <w:r w:rsidR="00461F5F" w:rsidRPr="005462DF">
        <w:t xml:space="preserve">taking account of the </w:t>
      </w:r>
      <w:r w:rsidR="00562D2A" w:rsidRPr="005462DF">
        <w:t>NRA</w:t>
      </w:r>
      <w:r w:rsidRPr="005462DF">
        <w:t xml:space="preserve">s in line with R.1 </w:t>
      </w:r>
      <w:r w:rsidR="00461F5F" w:rsidRPr="005462DF">
        <w:t>as well as</w:t>
      </w:r>
      <w:r w:rsidRPr="005462DF">
        <w:t xml:space="preserve"> the national legal and regulatory framework, including any areas of prescribed significant risk and mitigation measures. </w:t>
      </w:r>
      <w:r w:rsidR="00461F5F" w:rsidRPr="005462DF">
        <w:t>TCSPs are required to take appropriate steps to identify and assess their ML/TF risks and have policies, controls and procedures that enable them to manage and mitigate effectively the risks that have been identified.</w:t>
      </w:r>
      <w:r w:rsidR="005462DF">
        <w:rPr>
          <w:rStyle w:val="FootnoteReference"/>
        </w:rPr>
        <w:footnoteReference w:id="16"/>
      </w:r>
      <w:r w:rsidR="005462DF">
        <w:t xml:space="preserve"> </w:t>
      </w:r>
      <w:r w:rsidRPr="005462DF">
        <w:t>Where ML/TF risks are higher, TCSPs should always apply enhanced due diligence, although national law or regulation might not prescribe exactly how these higher risks are to be mitigated (e.g. varying the degree of enhanced ongoing monitoring).</w:t>
      </w:r>
    </w:p>
    <w:p w14:paraId="434323C0" w14:textId="066BC0F5" w:rsidR="0098261F" w:rsidRPr="005462DF" w:rsidRDefault="00922487" w:rsidP="005462DF">
      <w:pPr>
        <w:pStyle w:val="Para"/>
      </w:pPr>
      <w:r w:rsidRPr="005462DF">
        <w:lastRenderedPageBreak/>
        <w:t xml:space="preserve">Strategies adopted by </w:t>
      </w:r>
      <w:r w:rsidR="0098261F" w:rsidRPr="005462DF">
        <w:t>TCSPs to mitigate ML/TF risks has to take account</w:t>
      </w:r>
      <w:r w:rsidR="00BD24CA" w:rsidRPr="005462DF">
        <w:t xml:space="preserve"> of</w:t>
      </w:r>
      <w:r w:rsidR="0098261F" w:rsidRPr="005462DF">
        <w:t xml:space="preserve"> the applicable national legal, regulatory and supervisory frameworks. When </w:t>
      </w:r>
      <w:r w:rsidR="00452222" w:rsidRPr="005462DF">
        <w:t xml:space="preserve">determining </w:t>
      </w:r>
      <w:r w:rsidR="0098261F" w:rsidRPr="005462DF">
        <w:t xml:space="preserve">the extent to which TCSPs can decide how to mitigate risk, countries should consider the ability </w:t>
      </w:r>
      <w:r w:rsidRPr="005462DF">
        <w:t xml:space="preserve">of the sector </w:t>
      </w:r>
      <w:r w:rsidR="0098261F" w:rsidRPr="005462DF">
        <w:t xml:space="preserve">to effectively identify and manage ML/TF risks as well as </w:t>
      </w:r>
      <w:r w:rsidRPr="005462DF">
        <w:t xml:space="preserve">the expertise and resources of </w:t>
      </w:r>
      <w:r w:rsidR="0098261F" w:rsidRPr="005462DF">
        <w:t>their supervisors to adequately supervise how TCSPs manage ML/TF risks and take action to address any failures. Countries may also consider evidence from competent authorities on the level of compliance in the sector, and the sector’s approach to dealing with ML/TF risk. Countries whose services sectors are emerging or whose legal, regulatory and supervisory frameworks are still developing, may determine that TCSPs are not equipped to effectively identify and manage ML/TF risk</w:t>
      </w:r>
      <w:r w:rsidR="007502B4" w:rsidRPr="005462DF">
        <w:t xml:space="preserve">. </w:t>
      </w:r>
      <w:r w:rsidR="0098261F" w:rsidRPr="005462DF">
        <w:t xml:space="preserve">In such cases, a more prescriptive implementation of the AML/CFT requirements may be appropriate until understanding and experience </w:t>
      </w:r>
      <w:r w:rsidRPr="005462DF">
        <w:t xml:space="preserve">of the sector </w:t>
      </w:r>
      <w:r w:rsidR="0098261F" w:rsidRPr="005462DF">
        <w:t>is strengthened</w:t>
      </w:r>
      <w:r w:rsidR="00234746">
        <w:t>.</w:t>
      </w:r>
      <w:r w:rsidR="005462DF">
        <w:rPr>
          <w:rStyle w:val="FootnoteReference"/>
        </w:rPr>
        <w:footnoteReference w:id="17"/>
      </w:r>
    </w:p>
    <w:p w14:paraId="102267B5" w14:textId="77181871" w:rsidR="00D64B2E" w:rsidRPr="00D64B2E" w:rsidRDefault="0098261F" w:rsidP="005462DF">
      <w:pPr>
        <w:pStyle w:val="Para"/>
        <w:rPr>
          <w:lang w:val="en-US"/>
        </w:rPr>
      </w:pPr>
      <w:r w:rsidRPr="005462DF">
        <w:t>TCSPs should not be exempted from AML/CFT supervision even where their capacity and compliance is good. However, the</w:t>
      </w:r>
      <w:r>
        <w:rPr>
          <w:lang w:val="en-US"/>
        </w:rPr>
        <w:t xml:space="preserve"> RBA allow</w:t>
      </w:r>
      <w:r w:rsidR="00922487">
        <w:rPr>
          <w:lang w:val="en-US"/>
        </w:rPr>
        <w:t>s</w:t>
      </w:r>
      <w:r>
        <w:rPr>
          <w:lang w:val="en-US"/>
        </w:rPr>
        <w:t xml:space="preserve"> competent authorities to focus more supervisory resource on higher risk </w:t>
      </w:r>
      <w:r w:rsidR="00922487">
        <w:rPr>
          <w:lang w:val="en-US"/>
        </w:rPr>
        <w:t>entities</w:t>
      </w:r>
      <w:r>
        <w:rPr>
          <w:lang w:val="en-US"/>
        </w:rPr>
        <w:t xml:space="preserve">. </w:t>
      </w:r>
    </w:p>
    <w:p w14:paraId="21AC5016" w14:textId="77777777" w:rsidR="0098261F" w:rsidRDefault="0098261F" w:rsidP="005462DF">
      <w:pPr>
        <w:pStyle w:val="Heading2"/>
        <w:rPr>
          <w:lang w:val="en-US"/>
        </w:rPr>
      </w:pPr>
      <w:bookmarkStart w:id="62" w:name="_Toc514954195"/>
      <w:bookmarkStart w:id="63" w:name="_Toc517720580"/>
      <w:bookmarkStart w:id="64" w:name="_Toc514954196"/>
      <w:bookmarkStart w:id="65" w:name="_Toc517720581"/>
      <w:bookmarkStart w:id="66" w:name="_Toc514954197"/>
      <w:bookmarkStart w:id="67" w:name="_Toc517720582"/>
      <w:bookmarkStart w:id="68" w:name="_Toc514954198"/>
      <w:bookmarkStart w:id="69" w:name="_Toc517720583"/>
      <w:bookmarkStart w:id="70" w:name="_Toc514954199"/>
      <w:bookmarkStart w:id="71" w:name="_Toc517720584"/>
      <w:bookmarkStart w:id="72" w:name="_Toc514954200"/>
      <w:bookmarkStart w:id="73" w:name="_Toc517720585"/>
      <w:bookmarkStart w:id="74" w:name="_Toc514954201"/>
      <w:bookmarkStart w:id="75" w:name="_Toc517720586"/>
      <w:bookmarkStart w:id="76" w:name="_Toc514954202"/>
      <w:bookmarkStart w:id="77" w:name="_Toc517720587"/>
      <w:bookmarkStart w:id="78" w:name="_Toc514954203"/>
      <w:bookmarkStart w:id="79" w:name="_Toc517720588"/>
      <w:bookmarkStart w:id="80" w:name="_Toc514954204"/>
      <w:bookmarkStart w:id="81" w:name="_Toc517720589"/>
      <w:bookmarkStart w:id="82" w:name="_Toc525561740"/>
      <w:bookmarkStart w:id="83" w:name="_Toc525562434"/>
      <w:bookmarkStart w:id="84" w:name="_Toc1994923"/>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r>
        <w:rPr>
          <w:lang w:val="en-US"/>
        </w:rPr>
        <w:t>Identifying ML/TF risk</w:t>
      </w:r>
      <w:bookmarkEnd w:id="82"/>
      <w:bookmarkEnd w:id="83"/>
      <w:bookmarkEnd w:id="84"/>
    </w:p>
    <w:p w14:paraId="6A89171C" w14:textId="726E91BF" w:rsidR="0098261F" w:rsidRPr="00440B41" w:rsidRDefault="0098261F" w:rsidP="005462DF">
      <w:pPr>
        <w:pStyle w:val="Para"/>
      </w:pPr>
      <w:r>
        <w:rPr>
          <w:lang w:val="en-US"/>
        </w:rPr>
        <w:t xml:space="preserve">Access to accurate, timely and objective information on ML/TF risks is a </w:t>
      </w:r>
      <w:r w:rsidRPr="00440B41">
        <w:t xml:space="preserve">prerequisite for an effective RBA. INR.1.3 requires </w:t>
      </w:r>
      <w:r>
        <w:t xml:space="preserve">countries to have mechanisms to provide appropriate information on the </w:t>
      </w:r>
      <w:r w:rsidRPr="005462DF">
        <w:t>results</w:t>
      </w:r>
      <w:r>
        <w:t xml:space="preserve"> of the risk assessments to all relevant competent authorities, SRBs, financial institutions and TCSPs. </w:t>
      </w:r>
      <w:r w:rsidRPr="00440B41">
        <w:t>Where information is not readily available, for example where competent authorities have inadequate data to assess risks, are unable to share important information on ML/TF risks and threats, or where access to information is restricted by censorship, it will be difficult for TCSPs to correctly identify ML/TF risk.</w:t>
      </w:r>
    </w:p>
    <w:p w14:paraId="28488A14" w14:textId="3AF4789F" w:rsidR="0098261F" w:rsidRDefault="0098261F" w:rsidP="005462DF">
      <w:pPr>
        <w:pStyle w:val="Para"/>
        <w:rPr>
          <w:lang w:val="en-US"/>
        </w:rPr>
      </w:pPr>
      <w:r w:rsidRPr="00440B41">
        <w:t>R.34</w:t>
      </w:r>
      <w:r>
        <w:rPr>
          <w:lang w:val="en-US"/>
        </w:rPr>
        <w:t xml:space="preserve"> requires competent authorities, supervisors and SRBs to establish guidelines and provide feedback to financial institutions and DNFBPs. Such guidelines and feedback help institutions and businesses to assess the ML/TF risks and to </w:t>
      </w:r>
      <w:r w:rsidRPr="005462DF">
        <w:t>adjust</w:t>
      </w:r>
      <w:r>
        <w:rPr>
          <w:lang w:val="en-US"/>
        </w:rPr>
        <w:t xml:space="preserve"> their risk </w:t>
      </w:r>
      <w:r w:rsidR="00922487">
        <w:rPr>
          <w:lang w:val="en-US"/>
        </w:rPr>
        <w:t xml:space="preserve">mitigating </w:t>
      </w:r>
      <w:r>
        <w:rPr>
          <w:lang w:val="en-US"/>
        </w:rPr>
        <w:t>programmes accordingly.</w:t>
      </w:r>
    </w:p>
    <w:p w14:paraId="01E5F33E" w14:textId="77777777" w:rsidR="0098261F" w:rsidRDefault="0098261F" w:rsidP="0098261F">
      <w:pPr>
        <w:pStyle w:val="Heading2"/>
        <w:rPr>
          <w:lang w:val="en-US"/>
        </w:rPr>
      </w:pPr>
      <w:bookmarkStart w:id="85" w:name="_Toc514954206"/>
      <w:bookmarkStart w:id="86" w:name="_Toc517720591"/>
      <w:bookmarkStart w:id="87" w:name="_Toc514954207"/>
      <w:bookmarkStart w:id="88" w:name="_Toc517720592"/>
      <w:bookmarkStart w:id="89" w:name="_Toc514954208"/>
      <w:bookmarkStart w:id="90" w:name="_Toc517720593"/>
      <w:bookmarkStart w:id="91" w:name="_Toc514954209"/>
      <w:bookmarkStart w:id="92" w:name="_Toc517720594"/>
      <w:bookmarkStart w:id="93" w:name="_Toc514954210"/>
      <w:bookmarkStart w:id="94" w:name="_Toc517720595"/>
      <w:bookmarkStart w:id="95" w:name="_Toc525561741"/>
      <w:bookmarkStart w:id="96" w:name="_Toc525562435"/>
      <w:bookmarkStart w:id="97" w:name="_Toc1994924"/>
      <w:bookmarkEnd w:id="85"/>
      <w:bookmarkEnd w:id="86"/>
      <w:bookmarkEnd w:id="87"/>
      <w:bookmarkEnd w:id="88"/>
      <w:bookmarkEnd w:id="89"/>
      <w:bookmarkEnd w:id="90"/>
      <w:bookmarkEnd w:id="91"/>
      <w:bookmarkEnd w:id="92"/>
      <w:bookmarkEnd w:id="93"/>
      <w:bookmarkEnd w:id="94"/>
      <w:r>
        <w:rPr>
          <w:lang w:val="en-US"/>
        </w:rPr>
        <w:t>Assessing ML/TF risk</w:t>
      </w:r>
      <w:bookmarkEnd w:id="95"/>
      <w:bookmarkEnd w:id="96"/>
      <w:bookmarkEnd w:id="97"/>
    </w:p>
    <w:p w14:paraId="6DB13A0F" w14:textId="48993A0F" w:rsidR="0098261F" w:rsidRPr="00440B41" w:rsidRDefault="0098261F" w:rsidP="005462DF">
      <w:pPr>
        <w:pStyle w:val="Para"/>
      </w:pPr>
      <w:r w:rsidRPr="00440B41">
        <w:t>Assessing ML/TF risk requires countries, competent authorities and TCSPs to determine how the ML/TF threats identified will affect them. They should</w:t>
      </w:r>
      <w:r>
        <w:t xml:space="preserve"> analyse</w:t>
      </w:r>
      <w:r w:rsidRPr="00440B41">
        <w:t xml:space="preserve"> the information obtained to understand the likelihood of these risks occurring, and the impact that these would have, on the individual TCSP, the entire sector and on the national economy. ML/TF risks are often classified as low, </w:t>
      </w:r>
      <w:r w:rsidRPr="005462DF">
        <w:t>medium</w:t>
      </w:r>
      <w:r w:rsidRPr="00440B41">
        <w:t xml:space="preserve"> and high, with possible combinations between the different categories </w:t>
      </w:r>
      <w:r>
        <w:t>(</w:t>
      </w:r>
      <w:r w:rsidR="00483E41">
        <w:t xml:space="preserve">e.g. </w:t>
      </w:r>
      <w:r>
        <w:t>medium-high</w:t>
      </w:r>
      <w:r w:rsidR="00483E41">
        <w:t>,</w:t>
      </w:r>
      <w:r>
        <w:t xml:space="preserve"> low-medium)</w:t>
      </w:r>
      <w:r w:rsidRPr="00440B41">
        <w:t xml:space="preserve">. Assessing ML/TF risk therefore goes beyond the mere </w:t>
      </w:r>
      <w:r w:rsidR="00483E41" w:rsidRPr="00440B41">
        <w:t>gathering</w:t>
      </w:r>
      <w:r w:rsidRPr="00440B41">
        <w:t xml:space="preserve"> of quantitative and qualitative </w:t>
      </w:r>
      <w:r w:rsidR="00631C82">
        <w:t>information</w:t>
      </w:r>
      <w:r w:rsidR="00483E41" w:rsidRPr="00440B41">
        <w:t>, without its proper analysis</w:t>
      </w:r>
      <w:r w:rsidRPr="00440B41">
        <w:t xml:space="preserve">; </w:t>
      </w:r>
      <w:r w:rsidR="00631C82">
        <w:rPr>
          <w:lang w:val="en-US"/>
        </w:rPr>
        <w:t>this information</w:t>
      </w:r>
      <w:r w:rsidRPr="00440B41">
        <w:t xml:space="preserve"> forms the basis for effective ML/TF risk mitigation and should be kept up-to-date to remain relevant.</w:t>
      </w:r>
      <w:r w:rsidR="005462DF">
        <w:rPr>
          <w:rStyle w:val="FootnoteReference"/>
        </w:rPr>
        <w:footnoteReference w:id="18"/>
      </w:r>
    </w:p>
    <w:p w14:paraId="3CA4EBAE" w14:textId="490A81B4" w:rsidR="004A537F" w:rsidRPr="00440B41" w:rsidRDefault="004A537F" w:rsidP="005462DF">
      <w:pPr>
        <w:pStyle w:val="Para"/>
      </w:pPr>
      <w:r w:rsidRPr="00440B41">
        <w:lastRenderedPageBreak/>
        <w:t xml:space="preserve">Competent authorities should employ </w:t>
      </w:r>
      <w:r w:rsidRPr="005462DF">
        <w:t>skilled</w:t>
      </w:r>
      <w:r w:rsidRPr="00440B41">
        <w:t xml:space="preserve"> and trusted personnel, recruited through fit and proper tests, where appropriate. They should be technically equipped commensurate with the complexity of their responsibilities. TCSPs that are required to </w:t>
      </w:r>
      <w:r w:rsidR="00D63810" w:rsidRPr="00D63810">
        <w:rPr>
          <w:szCs w:val="22"/>
          <w:lang w:val="en-US" w:eastAsia="en-GB"/>
        </w:rPr>
        <w:t xml:space="preserve">routinely </w:t>
      </w:r>
      <w:r w:rsidR="00D63810" w:rsidRPr="0011087A">
        <w:rPr>
          <w:szCs w:val="22"/>
          <w:lang w:eastAsia="en-GB"/>
        </w:rPr>
        <w:t xml:space="preserve">conduct a high </w:t>
      </w:r>
      <w:r w:rsidR="00D63810" w:rsidRPr="00D63810">
        <w:rPr>
          <w:szCs w:val="22"/>
          <w:lang w:val="en-US" w:eastAsia="en-GB"/>
        </w:rPr>
        <w:t>volume</w:t>
      </w:r>
      <w:r w:rsidR="00D63810" w:rsidRPr="0011087A">
        <w:rPr>
          <w:szCs w:val="22"/>
          <w:lang w:eastAsia="en-GB"/>
        </w:rPr>
        <w:t xml:space="preserve"> of enquiries when on</w:t>
      </w:r>
      <w:r w:rsidR="00A01FA2">
        <w:rPr>
          <w:szCs w:val="22"/>
          <w:lang w:eastAsia="en-GB"/>
        </w:rPr>
        <w:t>-</w:t>
      </w:r>
      <w:r w:rsidR="00D63810" w:rsidRPr="0011087A">
        <w:rPr>
          <w:szCs w:val="22"/>
          <w:lang w:eastAsia="en-GB"/>
        </w:rPr>
        <w:t>boarding clients,</w:t>
      </w:r>
      <w:r w:rsidR="00D63810">
        <w:rPr>
          <w:szCs w:val="22"/>
          <w:lang w:eastAsia="en-GB"/>
        </w:rPr>
        <w:t xml:space="preserve"> e</w:t>
      </w:r>
      <w:r w:rsidR="00D63810" w:rsidRPr="0011087A">
        <w:rPr>
          <w:szCs w:val="22"/>
          <w:lang w:eastAsia="en-GB"/>
        </w:rPr>
        <w:t xml:space="preserve">.g., because of the size and </w:t>
      </w:r>
      <w:r w:rsidR="00D63810" w:rsidRPr="00D63810">
        <w:rPr>
          <w:szCs w:val="22"/>
          <w:lang w:val="en-US" w:eastAsia="en-GB"/>
        </w:rPr>
        <w:t>geographic footprint</w:t>
      </w:r>
      <w:r w:rsidR="00D63810" w:rsidRPr="0011087A">
        <w:rPr>
          <w:szCs w:val="22"/>
          <w:lang w:eastAsia="en-GB"/>
        </w:rPr>
        <w:t xml:space="preserve"> of the firm </w:t>
      </w:r>
      <w:r w:rsidR="00D63810">
        <w:rPr>
          <w:szCs w:val="22"/>
          <w:lang w:eastAsia="en-GB"/>
        </w:rPr>
        <w:t>may</w:t>
      </w:r>
      <w:r w:rsidR="00D63810" w:rsidRPr="0011087A">
        <w:rPr>
          <w:szCs w:val="22"/>
          <w:lang w:eastAsia="en-GB"/>
        </w:rPr>
        <w:t xml:space="preserve"> also consider </w:t>
      </w:r>
      <w:r w:rsidR="00D63810">
        <w:rPr>
          <w:szCs w:val="22"/>
          <w:lang w:eastAsia="en-GB"/>
        </w:rPr>
        <w:t>engaging</w:t>
      </w:r>
      <w:r w:rsidR="00D63810" w:rsidRPr="0011087A">
        <w:rPr>
          <w:szCs w:val="22"/>
          <w:lang w:eastAsia="en-GB"/>
        </w:rPr>
        <w:t xml:space="preserve"> skilled</w:t>
      </w:r>
      <w:r w:rsidR="00D63810">
        <w:rPr>
          <w:szCs w:val="22"/>
          <w:lang w:eastAsia="en-GB"/>
        </w:rPr>
        <w:t xml:space="preserve"> and</w:t>
      </w:r>
      <w:r w:rsidR="00D63810" w:rsidRPr="0011087A">
        <w:rPr>
          <w:szCs w:val="22"/>
          <w:lang w:eastAsia="en-GB"/>
        </w:rPr>
        <w:t xml:space="preserve"> trusted personnel </w:t>
      </w:r>
      <w:r w:rsidR="00D63810">
        <w:rPr>
          <w:szCs w:val="22"/>
          <w:lang w:eastAsia="en-GB"/>
        </w:rPr>
        <w:t>who</w:t>
      </w:r>
      <w:r w:rsidR="00D63810" w:rsidRPr="0011087A">
        <w:rPr>
          <w:szCs w:val="22"/>
          <w:lang w:eastAsia="en-GB"/>
        </w:rPr>
        <w:t xml:space="preserve"> are appropriately recruited and checked. Such </w:t>
      </w:r>
      <w:r w:rsidR="00D63810">
        <w:rPr>
          <w:szCs w:val="22"/>
          <w:lang w:eastAsia="en-GB"/>
        </w:rPr>
        <w:t>TCSPs</w:t>
      </w:r>
      <w:r w:rsidR="00D63810" w:rsidRPr="0011087A">
        <w:rPr>
          <w:szCs w:val="22"/>
          <w:lang w:eastAsia="en-GB"/>
        </w:rPr>
        <w:t xml:space="preserve"> are</w:t>
      </w:r>
      <w:r w:rsidR="00D63810">
        <w:rPr>
          <w:szCs w:val="22"/>
          <w:lang w:eastAsia="en-GB"/>
        </w:rPr>
        <w:t xml:space="preserve"> also </w:t>
      </w:r>
      <w:r w:rsidR="00D63810" w:rsidRPr="0011087A">
        <w:rPr>
          <w:szCs w:val="22"/>
          <w:lang w:eastAsia="en-GB"/>
        </w:rPr>
        <w:t xml:space="preserve">likely to consider using the various technological options </w:t>
      </w:r>
      <w:r w:rsidR="00D63810" w:rsidRPr="00D63810">
        <w:rPr>
          <w:szCs w:val="22"/>
          <w:lang w:val="en-US" w:eastAsia="en-GB"/>
        </w:rPr>
        <w:t>(including artificial intelligence)</w:t>
      </w:r>
      <w:r w:rsidR="00D63810">
        <w:rPr>
          <w:szCs w:val="22"/>
          <w:lang w:val="en-US" w:eastAsia="en-GB"/>
        </w:rPr>
        <w:t xml:space="preserve"> </w:t>
      </w:r>
      <w:r w:rsidR="00D63810" w:rsidRPr="0011087A">
        <w:rPr>
          <w:szCs w:val="22"/>
          <w:lang w:eastAsia="en-GB"/>
        </w:rPr>
        <w:t xml:space="preserve">and software </w:t>
      </w:r>
      <w:r w:rsidR="00D63810">
        <w:rPr>
          <w:szCs w:val="22"/>
          <w:lang w:eastAsia="en-GB"/>
        </w:rPr>
        <w:t>programs that</w:t>
      </w:r>
      <w:r w:rsidR="00D63810" w:rsidRPr="0011087A">
        <w:rPr>
          <w:szCs w:val="22"/>
          <w:lang w:eastAsia="en-GB"/>
        </w:rPr>
        <w:t xml:space="preserve"> are now available to assist in this regard.</w:t>
      </w:r>
    </w:p>
    <w:p w14:paraId="430D358E" w14:textId="2543E9E8" w:rsidR="0098261F" w:rsidRDefault="004A537F" w:rsidP="005462DF">
      <w:pPr>
        <w:pStyle w:val="Para"/>
        <w:rPr>
          <w:lang w:val="en-US"/>
        </w:rPr>
      </w:pPr>
      <w:r w:rsidRPr="00440B41">
        <w:t xml:space="preserve"> </w:t>
      </w:r>
      <w:r w:rsidR="0098261F" w:rsidRPr="00440B41">
        <w:t xml:space="preserve">TCSPs should </w:t>
      </w:r>
      <w:r w:rsidR="004F0837" w:rsidRPr="00440B41">
        <w:t xml:space="preserve">develop internal policies, procedures and controls, including </w:t>
      </w:r>
      <w:r w:rsidR="004F0837">
        <w:rPr>
          <w:lang w:val="en-US"/>
        </w:rPr>
        <w:t xml:space="preserve">appropriate compliance management arrangements, and adequate screening procedures to ensure high standards when hiring </w:t>
      </w:r>
      <w:r w:rsidR="004F0837" w:rsidRPr="005462DF">
        <w:t>employees</w:t>
      </w:r>
      <w:r w:rsidR="004F0837">
        <w:rPr>
          <w:lang w:val="en-US"/>
        </w:rPr>
        <w:t>.  TCSPs should also develop an ongoing employee training programme</w:t>
      </w:r>
      <w:r w:rsidR="0098261F">
        <w:rPr>
          <w:lang w:val="en-US"/>
        </w:rPr>
        <w:t xml:space="preserve">. </w:t>
      </w:r>
      <w:r w:rsidR="00BC3662">
        <w:rPr>
          <w:lang w:val="en-US"/>
        </w:rPr>
        <w:t>They</w:t>
      </w:r>
      <w:r w:rsidR="004F0837">
        <w:rPr>
          <w:lang w:val="en-US"/>
        </w:rPr>
        <w:t xml:space="preserve"> </w:t>
      </w:r>
      <w:r w:rsidR="0098261F">
        <w:rPr>
          <w:lang w:val="en-US"/>
        </w:rPr>
        <w:t xml:space="preserve">should be </w:t>
      </w:r>
      <w:r w:rsidR="00D63810">
        <w:rPr>
          <w:lang w:val="en-US"/>
        </w:rPr>
        <w:t>trained</w:t>
      </w:r>
      <w:r w:rsidR="0098261F">
        <w:rPr>
          <w:lang w:val="en-US"/>
        </w:rPr>
        <w:t xml:space="preserve"> commensurate with the complexity of their responsibilities. </w:t>
      </w:r>
    </w:p>
    <w:p w14:paraId="6CCC6CEA" w14:textId="1A7CA641" w:rsidR="0098261F" w:rsidRDefault="0098261F" w:rsidP="005462DF">
      <w:pPr>
        <w:pStyle w:val="Heading2"/>
        <w:rPr>
          <w:lang w:val="en-US"/>
        </w:rPr>
      </w:pPr>
      <w:bookmarkStart w:id="98" w:name="_Toc514954212"/>
      <w:bookmarkStart w:id="99" w:name="_Toc517720597"/>
      <w:bookmarkStart w:id="100" w:name="_Toc514954213"/>
      <w:bookmarkStart w:id="101" w:name="_Toc517720598"/>
      <w:bookmarkStart w:id="102" w:name="_Toc514954214"/>
      <w:bookmarkStart w:id="103" w:name="_Toc517720599"/>
      <w:bookmarkStart w:id="104" w:name="_Toc514954215"/>
      <w:bookmarkStart w:id="105" w:name="_Toc517720600"/>
      <w:bookmarkStart w:id="106" w:name="_Toc514954216"/>
      <w:bookmarkStart w:id="107" w:name="_Toc517720601"/>
      <w:bookmarkStart w:id="108" w:name="_Toc514954217"/>
      <w:bookmarkStart w:id="109" w:name="_Toc517720602"/>
      <w:bookmarkStart w:id="110" w:name="_Toc514954218"/>
      <w:bookmarkStart w:id="111" w:name="_Toc517720603"/>
      <w:bookmarkStart w:id="112" w:name="_Toc514954219"/>
      <w:bookmarkStart w:id="113" w:name="_Toc517720604"/>
      <w:bookmarkStart w:id="114" w:name="_Toc514954220"/>
      <w:bookmarkStart w:id="115" w:name="_Toc517720605"/>
      <w:bookmarkStart w:id="116" w:name="_Toc514954221"/>
      <w:bookmarkStart w:id="117" w:name="_Toc517720606"/>
      <w:bookmarkStart w:id="118" w:name="_Toc514954222"/>
      <w:bookmarkStart w:id="119" w:name="_Toc517720607"/>
      <w:bookmarkStart w:id="120" w:name="_Toc525561742"/>
      <w:bookmarkStart w:id="121" w:name="_Toc525562436"/>
      <w:bookmarkStart w:id="122" w:name="_Toc199492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r>
        <w:rPr>
          <w:lang w:val="en-US"/>
        </w:rPr>
        <w:t>Mitigating</w:t>
      </w:r>
      <w:r w:rsidR="000B731A">
        <w:rPr>
          <w:lang w:val="en-US"/>
        </w:rPr>
        <w:t xml:space="preserve"> and </w:t>
      </w:r>
      <w:r w:rsidR="000B731A" w:rsidRPr="005462DF">
        <w:t>managing</w:t>
      </w:r>
      <w:r>
        <w:rPr>
          <w:lang w:val="en-US"/>
        </w:rPr>
        <w:t xml:space="preserve"> ML/TF risk</w:t>
      </w:r>
      <w:bookmarkEnd w:id="120"/>
      <w:bookmarkEnd w:id="121"/>
      <w:bookmarkEnd w:id="122"/>
    </w:p>
    <w:p w14:paraId="797B2F29" w14:textId="71E690DC" w:rsidR="0098261F" w:rsidRDefault="0098261F" w:rsidP="005462DF">
      <w:pPr>
        <w:pStyle w:val="Para"/>
        <w:rPr>
          <w:lang w:val="en-US"/>
        </w:rPr>
      </w:pPr>
      <w:r w:rsidRPr="00440B41">
        <w:t>The</w:t>
      </w:r>
      <w:r>
        <w:rPr>
          <w:lang w:val="en-US"/>
        </w:rPr>
        <w:t xml:space="preserve"> FATF Recommendations require that, when applying a RBA, DNFBPs, countries</w:t>
      </w:r>
      <w:r w:rsidR="00452222">
        <w:rPr>
          <w:lang w:val="en-US"/>
        </w:rPr>
        <w:t>,</w:t>
      </w:r>
      <w:r>
        <w:rPr>
          <w:lang w:val="en-US"/>
        </w:rPr>
        <w:t xml:space="preserve"> competent authorities </w:t>
      </w:r>
      <w:r w:rsidR="004A537F">
        <w:rPr>
          <w:lang w:val="en-US"/>
        </w:rPr>
        <w:t xml:space="preserve">and supervisors </w:t>
      </w:r>
      <w:r>
        <w:rPr>
          <w:lang w:val="en-US"/>
        </w:rPr>
        <w:t>decide on the most appropriate and effective way to mitigate</w:t>
      </w:r>
      <w:r w:rsidR="000B731A">
        <w:rPr>
          <w:lang w:val="en-US"/>
        </w:rPr>
        <w:t xml:space="preserve"> and manage</w:t>
      </w:r>
      <w:r>
        <w:rPr>
          <w:lang w:val="en-US"/>
        </w:rPr>
        <w:t xml:space="preserve"> the ML/TF risk</w:t>
      </w:r>
      <w:r w:rsidR="00452222">
        <w:rPr>
          <w:lang w:val="en-US"/>
        </w:rPr>
        <w:t>s</w:t>
      </w:r>
      <w:r>
        <w:rPr>
          <w:lang w:val="en-US"/>
        </w:rPr>
        <w:t xml:space="preserve"> they have identified. They should take enhanced measures to manage and mitigate situations when the ML/TF risk is higher. In low</w:t>
      </w:r>
      <w:r w:rsidR="00483E41">
        <w:rPr>
          <w:lang w:val="en-US"/>
        </w:rPr>
        <w:t>er</w:t>
      </w:r>
      <w:r>
        <w:rPr>
          <w:lang w:val="en-US"/>
        </w:rPr>
        <w:t xml:space="preserve"> risk situations, </w:t>
      </w:r>
      <w:r w:rsidR="00483E41">
        <w:rPr>
          <w:lang w:val="en-US"/>
        </w:rPr>
        <w:t xml:space="preserve">less stringent </w:t>
      </w:r>
      <w:r>
        <w:rPr>
          <w:lang w:val="en-US"/>
        </w:rPr>
        <w:t>measures may be applied</w:t>
      </w:r>
      <w:r w:rsidR="007A34BB">
        <w:rPr>
          <w:lang w:val="en-US"/>
        </w:rPr>
        <w:t>.</w:t>
      </w:r>
      <w:r w:rsidR="007A34BB">
        <w:rPr>
          <w:rStyle w:val="FootnoteReference"/>
          <w:lang w:val="en-US"/>
        </w:rPr>
        <w:footnoteReference w:id="19"/>
      </w:r>
    </w:p>
    <w:p w14:paraId="05CD364D" w14:textId="1D3AA3E8" w:rsidR="0098261F" w:rsidRDefault="0098261F" w:rsidP="00533ED1">
      <w:pPr>
        <w:pStyle w:val="BulletedList"/>
        <w:numPr>
          <w:ilvl w:val="0"/>
          <w:numId w:val="134"/>
        </w:numPr>
      </w:pPr>
      <w:r w:rsidRPr="0089626E">
        <w:t xml:space="preserve">Countries </w:t>
      </w:r>
      <w:r w:rsidR="004A537F">
        <w:t>seeking</w:t>
      </w:r>
      <w:r w:rsidR="004A537F" w:rsidRPr="0089626E">
        <w:t xml:space="preserve"> </w:t>
      </w:r>
      <w:r w:rsidRPr="0089626E">
        <w:t>to exempt certain DNFBPs, sectors or activities from some of their AML/CF</w:t>
      </w:r>
      <w:r>
        <w:t>T</w:t>
      </w:r>
      <w:r w:rsidRPr="0089626E">
        <w:t xml:space="preserve"> obligations should assess the ML/TF risk associated with these </w:t>
      </w:r>
      <w:r>
        <w:t>TCSPs</w:t>
      </w:r>
      <w:r w:rsidRPr="0089626E">
        <w:t>, activities</w:t>
      </w:r>
      <w:r w:rsidR="00452222">
        <w:t>,</w:t>
      </w:r>
      <w:r>
        <w:t xml:space="preserve"> and sector</w:t>
      </w:r>
      <w:r w:rsidRPr="0089626E">
        <w:t xml:space="preserve"> and be able to demonstrate that the</w:t>
      </w:r>
      <w:r w:rsidR="004A537F">
        <w:t xml:space="preserve"> ML/TF</w:t>
      </w:r>
      <w:r w:rsidRPr="0089626E">
        <w:t xml:space="preserve"> risk is low, and that the specific conditions required for one of the exemptions of INR 1.6 are met. The </w:t>
      </w:r>
      <w:r w:rsidR="004A537F">
        <w:t>depth and scope</w:t>
      </w:r>
      <w:r w:rsidR="004A537F" w:rsidRPr="0089626E">
        <w:t xml:space="preserve"> </w:t>
      </w:r>
      <w:r w:rsidRPr="0089626E">
        <w:t xml:space="preserve">of the risk assessment will depend on the type of business or profession, sector or activity, </w:t>
      </w:r>
      <w:r>
        <w:t>value and/or volumes of activity,</w:t>
      </w:r>
      <w:r w:rsidRPr="0089626E">
        <w:t xml:space="preserve"> product or services offered and the geographic scope of the activities that stands to benefit from the exemption.</w:t>
      </w:r>
    </w:p>
    <w:p w14:paraId="45AC492E" w14:textId="7E11D0F6" w:rsidR="00340C14" w:rsidRPr="00440B41" w:rsidRDefault="0098261F" w:rsidP="00533ED1">
      <w:pPr>
        <w:pStyle w:val="BulletedList"/>
        <w:numPr>
          <w:ilvl w:val="0"/>
          <w:numId w:val="134"/>
        </w:numPr>
        <w:rPr>
          <w:b/>
          <w:bCs/>
          <w:sz w:val="24"/>
        </w:rPr>
      </w:pPr>
      <w:r w:rsidRPr="005E50CE">
        <w:t>Countries</w:t>
      </w:r>
      <w:r w:rsidRPr="00440B41">
        <w:rPr>
          <w:lang w:val="en-US"/>
        </w:rPr>
        <w:t xml:space="preserve"> and TCSPs looking to apply simplified measures should conduct an assessment </w:t>
      </w:r>
      <w:r w:rsidR="004A537F">
        <w:t>to ascertain the lower risk</w:t>
      </w:r>
      <w:r w:rsidR="004A537F" w:rsidRPr="001647B8">
        <w:t xml:space="preserve"> </w:t>
      </w:r>
      <w:r w:rsidRPr="00440B41">
        <w:rPr>
          <w:lang w:val="en-US"/>
        </w:rPr>
        <w:t>connected to the category of customers and clients or products targeted and establish the lower level of the risks involved, and define the extent and the intensity of the required AML/CFT measures. Specific Recommendations set out in more detail how this general principle applies to particular requirements.</w:t>
      </w:r>
      <w:bookmarkStart w:id="123" w:name="_Toc514954224"/>
      <w:bookmarkStart w:id="124" w:name="_Toc517720609"/>
      <w:bookmarkStart w:id="125" w:name="_Toc514954225"/>
      <w:bookmarkStart w:id="126" w:name="_Toc517720610"/>
      <w:bookmarkStart w:id="127" w:name="_Toc514954226"/>
      <w:bookmarkStart w:id="128" w:name="_Toc517720611"/>
      <w:bookmarkStart w:id="129" w:name="_Toc514954227"/>
      <w:bookmarkStart w:id="130" w:name="_Toc517720612"/>
      <w:bookmarkStart w:id="131" w:name="_Toc514954228"/>
      <w:bookmarkStart w:id="132" w:name="_Toc517720613"/>
      <w:bookmarkStart w:id="133" w:name="_Toc514954229"/>
      <w:bookmarkStart w:id="134" w:name="_Toc517720614"/>
      <w:bookmarkStart w:id="135" w:name="_Toc514954230"/>
      <w:bookmarkStart w:id="136" w:name="_Toc517720615"/>
      <w:bookmarkStart w:id="137" w:name="_Toc514954231"/>
      <w:bookmarkStart w:id="138" w:name="_Toc517720616"/>
      <w:bookmarkStart w:id="139" w:name="_Toc514954232"/>
      <w:bookmarkStart w:id="140" w:name="_Toc517720617"/>
      <w:bookmarkStart w:id="141" w:name="_Toc525561743"/>
      <w:bookmarkStart w:id="142" w:name="_Toc525562437"/>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r w:rsidR="005462DF">
        <w:rPr>
          <w:rStyle w:val="FootnoteReference"/>
          <w:lang w:val="en-US"/>
        </w:rPr>
        <w:footnoteReference w:id="20"/>
      </w:r>
    </w:p>
    <w:p w14:paraId="676FFFFF" w14:textId="3905E13A" w:rsidR="0098261F" w:rsidRDefault="0098261F" w:rsidP="005462DF">
      <w:pPr>
        <w:pStyle w:val="Heading2"/>
      </w:pPr>
      <w:bookmarkStart w:id="143" w:name="_Toc1994926"/>
      <w:r>
        <w:t xml:space="preserve">Developing a </w:t>
      </w:r>
      <w:r w:rsidRPr="006A2061">
        <w:rPr>
          <w:lang w:val="en-US"/>
        </w:rPr>
        <w:t>common</w:t>
      </w:r>
      <w:r>
        <w:t xml:space="preserve"> </w:t>
      </w:r>
      <w:r w:rsidRPr="005462DF">
        <w:t>understanding</w:t>
      </w:r>
      <w:r>
        <w:t xml:space="preserve"> of the RBA</w:t>
      </w:r>
      <w:bookmarkEnd w:id="141"/>
      <w:bookmarkEnd w:id="142"/>
      <w:bookmarkEnd w:id="143"/>
    </w:p>
    <w:p w14:paraId="4EBCC11D" w14:textId="397136AF" w:rsidR="0098261F" w:rsidRDefault="0098261F" w:rsidP="005462DF">
      <w:pPr>
        <w:pStyle w:val="Para"/>
      </w:pPr>
      <w:r>
        <w:t xml:space="preserve">The effectiveness of a RBA depends on a common understanding by </w:t>
      </w:r>
      <w:r>
        <w:rPr>
          <w:lang w:val="en-US"/>
        </w:rPr>
        <w:t>competent</w:t>
      </w:r>
      <w:r>
        <w:t xml:space="preserve"> authorities and TCSPs of what the RBA entails, how it should be applied and how ML/TF risks should be </w:t>
      </w:r>
      <w:r w:rsidRPr="0078323F">
        <w:t xml:space="preserve">addressed. In addition to a legal and regulatory framework that spells out the degree of discretion, TCSPs should deal with the risks they identify. Competent authorities should issue </w:t>
      </w:r>
      <w:r w:rsidR="00483E41" w:rsidRPr="0078323F">
        <w:t xml:space="preserve">risk-based approach </w:t>
      </w:r>
      <w:r w:rsidRPr="0078323F">
        <w:t xml:space="preserve">guidance to TCSPs on meeting their legal and </w:t>
      </w:r>
      <w:r w:rsidRPr="0078323F">
        <w:lastRenderedPageBreak/>
        <w:t>regulatory AML/CFT obligations</w:t>
      </w:r>
      <w:r w:rsidR="00483E41" w:rsidRPr="0078323F">
        <w:t xml:space="preserve">. </w:t>
      </w:r>
      <w:r w:rsidRPr="0078323F">
        <w:t xml:space="preserve">Supporting ongoing and effective communication between competent authorities </w:t>
      </w:r>
      <w:r>
        <w:t xml:space="preserve">and the sector is essential. </w:t>
      </w:r>
    </w:p>
    <w:p w14:paraId="79748469" w14:textId="04249935" w:rsidR="0098261F" w:rsidRPr="00BC1B4A" w:rsidRDefault="001D5004" w:rsidP="00BC1B4A">
      <w:pPr>
        <w:pStyle w:val="Para"/>
      </w:pPr>
      <w:r w:rsidRPr="001D5004">
        <w:t xml:space="preserve">Competent authorities should acknowledge that in a risk-based regime, not all </w:t>
      </w:r>
      <w:r>
        <w:t>TCSPs</w:t>
      </w:r>
      <w:r w:rsidRPr="001D5004">
        <w:t xml:space="preserve"> will adopt identical AML/CFT controls   On the other hand, </w:t>
      </w:r>
      <w:r w:rsidRPr="005462DF">
        <w:t>TCSPs</w:t>
      </w:r>
      <w:r w:rsidRPr="001D5004">
        <w:t xml:space="preserve"> should understand that a RBA does not exempt them from applying effective AML/CFT controls</w:t>
      </w:r>
      <w:r w:rsidR="00D63810">
        <w:t xml:space="preserve"> with a RBA</w:t>
      </w:r>
      <w:r w:rsidRPr="001D5004">
        <w:t>.</w:t>
      </w:r>
    </w:p>
    <w:p w14:paraId="2893D1C4" w14:textId="1F328B9E" w:rsidR="0098261F" w:rsidRDefault="0098261F" w:rsidP="005462DF">
      <w:pPr>
        <w:pStyle w:val="Heading1"/>
        <w:rPr>
          <w:lang w:eastAsia="zh-CN"/>
        </w:rPr>
      </w:pPr>
      <w:bookmarkStart w:id="144" w:name="_Toc525561744"/>
      <w:bookmarkStart w:id="145" w:name="_Toc525562438"/>
      <w:bookmarkStart w:id="146" w:name="_Toc1994927"/>
      <w:r w:rsidRPr="00855173">
        <w:rPr>
          <w:lang w:eastAsia="zh-CN"/>
        </w:rPr>
        <w:t xml:space="preserve">SECTION </w:t>
      </w:r>
      <w:r>
        <w:rPr>
          <w:lang w:eastAsia="zh-CN"/>
        </w:rPr>
        <w:t>III</w:t>
      </w:r>
      <w:r w:rsidRPr="00855173">
        <w:rPr>
          <w:lang w:eastAsia="zh-CN"/>
        </w:rPr>
        <w:t xml:space="preserve"> – </w:t>
      </w:r>
      <w:r w:rsidRPr="005462DF">
        <w:t>Guidance</w:t>
      </w:r>
      <w:r w:rsidRPr="00855173">
        <w:rPr>
          <w:lang w:eastAsia="zh-CN"/>
        </w:rPr>
        <w:t xml:space="preserve"> for </w:t>
      </w:r>
      <w:r>
        <w:rPr>
          <w:lang w:eastAsia="zh-CN"/>
        </w:rPr>
        <w:t>TCSPs</w:t>
      </w:r>
      <w:r w:rsidRPr="00855173">
        <w:rPr>
          <w:lang w:eastAsia="zh-CN"/>
        </w:rPr>
        <w:t xml:space="preserve"> </w:t>
      </w:r>
      <w:r>
        <w:rPr>
          <w:spacing w:val="-5"/>
        </w:rPr>
        <w:t xml:space="preserve">and those providing services to TCSPs </w:t>
      </w:r>
      <w:r>
        <w:t>on</w:t>
      </w:r>
      <w:r>
        <w:rPr>
          <w:spacing w:val="-2"/>
        </w:rPr>
        <w:t xml:space="preserve"> </w:t>
      </w:r>
      <w:r>
        <w:t>implem</w:t>
      </w:r>
      <w:r>
        <w:rPr>
          <w:spacing w:val="1"/>
        </w:rPr>
        <w:t>e</w:t>
      </w:r>
      <w:r>
        <w:t>nti</w:t>
      </w:r>
      <w:r>
        <w:rPr>
          <w:spacing w:val="1"/>
        </w:rPr>
        <w:t>n</w:t>
      </w:r>
      <w:r>
        <w:t>g</w:t>
      </w:r>
      <w:r>
        <w:rPr>
          <w:spacing w:val="-18"/>
        </w:rPr>
        <w:t xml:space="preserve"> </w:t>
      </w:r>
      <w:r>
        <w:t>a</w:t>
      </w:r>
      <w:r>
        <w:rPr>
          <w:spacing w:val="-2"/>
        </w:rPr>
        <w:t xml:space="preserve"> </w:t>
      </w:r>
      <w:r>
        <w:rPr>
          <w:spacing w:val="1"/>
        </w:rPr>
        <w:t>r</w:t>
      </w:r>
      <w:r>
        <w:t>isk-</w:t>
      </w:r>
      <w:r>
        <w:rPr>
          <w:spacing w:val="1"/>
        </w:rPr>
        <w:t>b</w:t>
      </w:r>
      <w:r>
        <w:t>ased approach</w:t>
      </w:r>
      <w:bookmarkEnd w:id="144"/>
      <w:bookmarkEnd w:id="145"/>
      <w:bookmarkEnd w:id="146"/>
    </w:p>
    <w:p w14:paraId="49E311E3" w14:textId="2EAD066A" w:rsidR="0098261F" w:rsidRPr="005462DF" w:rsidRDefault="0098261F" w:rsidP="005462DF">
      <w:pPr>
        <w:pStyle w:val="Heading2"/>
      </w:pPr>
      <w:bookmarkStart w:id="147" w:name="_Toc525561745"/>
      <w:bookmarkStart w:id="148" w:name="_Toc525562439"/>
      <w:bookmarkStart w:id="149" w:name="_Toc1994928"/>
      <w:r w:rsidRPr="005462DF">
        <w:t>Risk assessment</w:t>
      </w:r>
      <w:bookmarkEnd w:id="147"/>
      <w:bookmarkEnd w:id="148"/>
      <w:bookmarkEnd w:id="149"/>
      <w:r w:rsidR="00724334" w:rsidRPr="005462DF">
        <w:t xml:space="preserve"> </w:t>
      </w:r>
    </w:p>
    <w:p w14:paraId="457B45EC" w14:textId="3337ED45" w:rsidR="0098261F" w:rsidRPr="005462DF" w:rsidRDefault="00452222" w:rsidP="005462DF">
      <w:pPr>
        <w:pStyle w:val="Para"/>
      </w:pPr>
      <w:r>
        <w:t xml:space="preserve">TCSPs and those providing services </w:t>
      </w:r>
      <w:r w:rsidR="00E528B9" w:rsidRPr="00440B41">
        <w:t>to</w:t>
      </w:r>
      <w:r>
        <w:t xml:space="preserve"> TCSPs should take appropriate steps to identify</w:t>
      </w:r>
      <w:r w:rsidRPr="00440B41">
        <w:t xml:space="preserve"> </w:t>
      </w:r>
      <w:r>
        <w:t>and</w:t>
      </w:r>
      <w:r w:rsidRPr="00440B41">
        <w:t xml:space="preserve"> </w:t>
      </w:r>
      <w:r>
        <w:t>assess</w:t>
      </w:r>
      <w:r w:rsidRPr="00440B41">
        <w:t xml:space="preserve"> </w:t>
      </w:r>
      <w:r>
        <w:t>the</w:t>
      </w:r>
      <w:r w:rsidRPr="00440B41">
        <w:t xml:space="preserve"> </w:t>
      </w:r>
      <w:r w:rsidRPr="005462DF">
        <w:t xml:space="preserve">risk </w:t>
      </w:r>
      <w:r w:rsidR="004A537F" w:rsidRPr="005462DF">
        <w:t xml:space="preserve">firm-wide on their customers </w:t>
      </w:r>
      <w:r w:rsidRPr="005462DF">
        <w:t>that they could be used for ML/TF. They should document those assessments, keep these assessments up-to-date and have appropriate mechanisms in place to provide risk assessment information to competent authorities and supervisors. TCSPs must always understand their ML/TF risks, however, competent authorities or SRBs may determine that individual documented risk assessments are not required, if the specific risks inherent to the sector are clearly identified and understood. The nature and extent of any assessment of ML/TF risks should be appropriate to the nature and size of the business</w:t>
      </w:r>
      <w:r w:rsidR="0098261F" w:rsidRPr="005462DF">
        <w:t xml:space="preserve">. </w:t>
      </w:r>
    </w:p>
    <w:p w14:paraId="2EF27C6B" w14:textId="194C9AB5" w:rsidR="0098261F" w:rsidRPr="005462DF" w:rsidRDefault="0098261F" w:rsidP="005462DF">
      <w:pPr>
        <w:pStyle w:val="Para"/>
      </w:pPr>
      <w:r w:rsidRPr="005462DF">
        <w:t xml:space="preserve">ML/TF risks can be organised into </w:t>
      </w:r>
      <w:r w:rsidR="004A537F" w:rsidRPr="005462DF">
        <w:t xml:space="preserve">three </w:t>
      </w:r>
      <w:r w:rsidRPr="005462DF">
        <w:t xml:space="preserve">categories: </w:t>
      </w:r>
      <w:r w:rsidR="004A537F" w:rsidRPr="005462DF">
        <w:t xml:space="preserve">(a) </w:t>
      </w:r>
      <w:r w:rsidR="00297857" w:rsidRPr="005462DF">
        <w:t>country/</w:t>
      </w:r>
      <w:r w:rsidRPr="005462DF">
        <w:t>geographic risk</w:t>
      </w:r>
      <w:r w:rsidR="00343BD7" w:rsidRPr="005462DF">
        <w:t>;</w:t>
      </w:r>
      <w:r w:rsidRPr="005462DF">
        <w:t xml:space="preserve"> </w:t>
      </w:r>
      <w:r w:rsidR="004A537F" w:rsidRPr="005462DF">
        <w:t xml:space="preserve">(b) </w:t>
      </w:r>
      <w:r w:rsidRPr="005462DF">
        <w:t>client risk</w:t>
      </w:r>
      <w:r w:rsidR="00343BD7" w:rsidRPr="005462DF">
        <w:t>,</w:t>
      </w:r>
      <w:r w:rsidRPr="005462DF">
        <w:t xml:space="preserve"> and </w:t>
      </w:r>
      <w:r w:rsidR="004A537F" w:rsidRPr="005462DF">
        <w:t xml:space="preserve">(c) </w:t>
      </w:r>
      <w:r w:rsidR="00343BD7" w:rsidRPr="005462DF">
        <w:t>transaction/</w:t>
      </w:r>
      <w:r w:rsidRPr="005462DF">
        <w:t>service risk.</w:t>
      </w:r>
      <w:r w:rsidR="00920886">
        <w:rPr>
          <w:rStyle w:val="FootnoteReference"/>
        </w:rPr>
        <w:footnoteReference w:id="21"/>
      </w:r>
      <w:r w:rsidR="004A537F" w:rsidRPr="005462DF">
        <w:t xml:space="preserve"> </w:t>
      </w:r>
      <w:r w:rsidRPr="005462DF">
        <w:t xml:space="preserve">The risks and red flags listed in each category are not exhaustive but provide a starting point for TCSPs to use when designing their </w:t>
      </w:r>
      <w:r w:rsidR="00785B79" w:rsidRPr="005462DF">
        <w:t>RBA</w:t>
      </w:r>
      <w:r w:rsidRPr="005462DF">
        <w:t xml:space="preserve">. </w:t>
      </w:r>
    </w:p>
    <w:p w14:paraId="279BF35C" w14:textId="4CFB4874" w:rsidR="0098261F" w:rsidRPr="005462DF" w:rsidRDefault="0098261F" w:rsidP="005462DF">
      <w:pPr>
        <w:pStyle w:val="Para"/>
      </w:pPr>
      <w:r w:rsidRPr="005462DF">
        <w:t xml:space="preserve">TCSPs should also refer to their country’s </w:t>
      </w:r>
      <w:r w:rsidR="00562D2A" w:rsidRPr="005462DF">
        <w:t>NRA</w:t>
      </w:r>
      <w:r w:rsidRPr="005462DF">
        <w:t>s and risk assessments performed by the competent authorities and supervisors.</w:t>
      </w:r>
    </w:p>
    <w:p w14:paraId="38583C6C" w14:textId="77777777" w:rsidR="00474ED7" w:rsidRPr="005462DF" w:rsidRDefault="0098261F" w:rsidP="005462DF">
      <w:pPr>
        <w:pStyle w:val="Para"/>
      </w:pPr>
      <w:r w:rsidRPr="005462DF">
        <w:t>When assessing risk, TCSPs should consider all the relevant risk factors before determining the level of overall risk and the appropriate level of mitigation to be applied.</w:t>
      </w:r>
      <w:r w:rsidR="00F906C3" w:rsidRPr="005462DF">
        <w:t xml:space="preserve"> Such risk assessment may well be informed by findings of the NRA, the supra-national risk assessments, sectoral reports conducted by competent authorities on ML/TF risks that are inherent in TCSP services/sector, risk reports in other jurisdictions where the </w:t>
      </w:r>
      <w:r w:rsidR="00D64B2E" w:rsidRPr="005462DF">
        <w:t>TCSP</w:t>
      </w:r>
      <w:r w:rsidR="00F906C3" w:rsidRPr="005462DF">
        <w:t xml:space="preserve"> based in and any other information which may be relevant to assess the risk level particular to their practice. For example, press articles and other widely available public information highlighting issues that may have arisen in particular jurisdictions. </w:t>
      </w:r>
    </w:p>
    <w:p w14:paraId="180E4C96" w14:textId="14E4C18D" w:rsidR="00005661" w:rsidRPr="005462DF" w:rsidRDefault="00F906C3" w:rsidP="005462DF">
      <w:pPr>
        <w:pStyle w:val="Para"/>
      </w:pPr>
      <w:r w:rsidRPr="005462DF">
        <w:t xml:space="preserve">TCSPs </w:t>
      </w:r>
      <w:r w:rsidR="00D63810" w:rsidRPr="005462DF">
        <w:t xml:space="preserve">may well </w:t>
      </w:r>
      <w:r w:rsidRPr="005462DF">
        <w:t>also draw references to FATF Guidance on indicators and risk factors.</w:t>
      </w:r>
      <w:r w:rsidR="002E68E5" w:rsidRPr="005462DF">
        <w:t xml:space="preserve"> During the course of a client relationship, procedures for ongoing monitoring and review of the client’s risk procedures are also important. Competent authorities should consider how they can best alert TCSPs to the findings of any national risk assessments, the supranational risk assessments and any other information which may be relevant to assess the risk level particular to a TCSP practice in the relevant country.</w:t>
      </w:r>
      <w:r w:rsidRPr="005462DF">
        <w:t xml:space="preserve"> </w:t>
      </w:r>
    </w:p>
    <w:p w14:paraId="73BA4C0A" w14:textId="26E1ECC1" w:rsidR="002E68E5" w:rsidRDefault="002E68E5" w:rsidP="005462DF">
      <w:pPr>
        <w:pStyle w:val="Para"/>
      </w:pPr>
      <w:r w:rsidRPr="005462DF">
        <w:t xml:space="preserve">The ongoing nature of the advice and services a TCSP typically provides means that automated transaction monitoring systems of the type used by financial institutions will not be appropriate as the exclusive solution for most TCSPs. The TCSP’s knowledge </w:t>
      </w:r>
      <w:r w:rsidRPr="005462DF">
        <w:lastRenderedPageBreak/>
        <w:t>of the client and its business will develop throughout the duration of what typically would be expected to be a longer term and interactive</w:t>
      </w:r>
      <w:r w:rsidRPr="0005309D">
        <w:t xml:space="preserve"> </w:t>
      </w:r>
      <w:r>
        <w:t>professional relationship.</w:t>
      </w:r>
      <w:r>
        <w:rPr>
          <w:spacing w:val="-11"/>
        </w:rPr>
        <w:t xml:space="preserve"> </w:t>
      </w:r>
      <w:r w:rsidRPr="00E0484C">
        <w:t xml:space="preserve">However, although the individual </w:t>
      </w:r>
      <w:r>
        <w:t>TCSP</w:t>
      </w:r>
      <w:r w:rsidRPr="00E0484C">
        <w:t>s are not expected to investigate their clients,</w:t>
      </w:r>
      <w:r>
        <w:rPr>
          <w:spacing w:val="-11"/>
        </w:rPr>
        <w:t xml:space="preserve"> </w:t>
      </w:r>
      <w:r>
        <w:t>they</w:t>
      </w:r>
      <w:r>
        <w:rPr>
          <w:spacing w:val="-9"/>
        </w:rPr>
        <w:t xml:space="preserve"> </w:t>
      </w:r>
      <w:r>
        <w:t>may be well positioned to identify and detect changes in the type of work or the nature of the client’s activities. TCSPs will also need to consider the nature of the risks presented</w:t>
      </w:r>
      <w:r>
        <w:rPr>
          <w:spacing w:val="-12"/>
        </w:rPr>
        <w:t xml:space="preserve"> </w:t>
      </w:r>
      <w:r>
        <w:t>by</w:t>
      </w:r>
      <w:r>
        <w:rPr>
          <w:spacing w:val="-14"/>
        </w:rPr>
        <w:t xml:space="preserve"> </w:t>
      </w:r>
      <w:r>
        <w:t>isolated,</w:t>
      </w:r>
      <w:r>
        <w:rPr>
          <w:spacing w:val="-12"/>
        </w:rPr>
        <w:t xml:space="preserve"> </w:t>
      </w:r>
      <w:r>
        <w:t>minor</w:t>
      </w:r>
      <w:r>
        <w:rPr>
          <w:spacing w:val="-11"/>
        </w:rPr>
        <w:t xml:space="preserve"> </w:t>
      </w:r>
      <w:r>
        <w:t>and</w:t>
      </w:r>
      <w:r>
        <w:rPr>
          <w:spacing w:val="-12"/>
        </w:rPr>
        <w:t xml:space="preserve"> </w:t>
      </w:r>
      <w:r>
        <w:t>short-term</w:t>
      </w:r>
      <w:r>
        <w:rPr>
          <w:spacing w:val="-15"/>
        </w:rPr>
        <w:t xml:space="preserve"> </w:t>
      </w:r>
      <w:r>
        <w:t>client</w:t>
      </w:r>
      <w:r>
        <w:rPr>
          <w:spacing w:val="-11"/>
        </w:rPr>
        <w:t xml:space="preserve"> </w:t>
      </w:r>
      <w:r>
        <w:t>relationships</w:t>
      </w:r>
      <w:r>
        <w:rPr>
          <w:spacing w:val="-10"/>
        </w:rPr>
        <w:t xml:space="preserve"> </w:t>
      </w:r>
      <w:r>
        <w:t>that</w:t>
      </w:r>
      <w:r>
        <w:rPr>
          <w:spacing w:val="-10"/>
        </w:rPr>
        <w:t xml:space="preserve"> </w:t>
      </w:r>
      <w:r>
        <w:t>may</w:t>
      </w:r>
      <w:r>
        <w:rPr>
          <w:spacing w:val="-14"/>
        </w:rPr>
        <w:t xml:space="preserve"> </w:t>
      </w:r>
      <w:r>
        <w:t>inherently,</w:t>
      </w:r>
      <w:r>
        <w:rPr>
          <w:spacing w:val="-12"/>
        </w:rPr>
        <w:t xml:space="preserve"> </w:t>
      </w:r>
      <w:r>
        <w:t>but</w:t>
      </w:r>
      <w:r>
        <w:rPr>
          <w:spacing w:val="-11"/>
        </w:rPr>
        <w:t xml:space="preserve"> </w:t>
      </w:r>
      <w:r>
        <w:t>not necessarily be low risk (e.g. one-off client relationship due to transfer of cases).</w:t>
      </w:r>
    </w:p>
    <w:p w14:paraId="4D0413AB" w14:textId="7C00CC36" w:rsidR="002E68E5" w:rsidRPr="005462DF" w:rsidRDefault="002E68E5" w:rsidP="005462DF">
      <w:pPr>
        <w:pStyle w:val="Para"/>
      </w:pPr>
      <w:r w:rsidRPr="0005309D">
        <w:t xml:space="preserve">Identification of the </w:t>
      </w:r>
      <w:r>
        <w:t>ML/TF</w:t>
      </w:r>
      <w:r w:rsidRPr="0005309D">
        <w:t xml:space="preserve"> risks associated with certain clients or categories of clients, and certain types of work will allow </w:t>
      </w:r>
      <w:r>
        <w:t>TCSP</w:t>
      </w:r>
      <w:r w:rsidRPr="0005309D">
        <w:t xml:space="preserve">s to determine and implement reasonable and proportionate </w:t>
      </w:r>
      <w:r w:rsidRPr="005462DF">
        <w:t xml:space="preserve">measures and controls to mitigate such risks. The risks and appropriate measures will depend on the nature of the TCSP’s role and involvement. Circumstances may vary considerably between professionals who represent clients on a transaction or in a long term advisory relationship. </w:t>
      </w:r>
    </w:p>
    <w:p w14:paraId="307360A9" w14:textId="34265B9C" w:rsidR="002E68E5" w:rsidRPr="005462DF" w:rsidRDefault="002E68E5" w:rsidP="005462DF">
      <w:pPr>
        <w:pStyle w:val="Para"/>
      </w:pPr>
      <w:r w:rsidRPr="005462DF">
        <w:t>The amount and degree of ongoing monitoring and review will depend on the nature and frequency of the relationship</w:t>
      </w:r>
      <w:r w:rsidR="002A194C" w:rsidRPr="005462DF">
        <w:t>, along with the comprehensive assessment of client/transactional risk</w:t>
      </w:r>
      <w:r w:rsidRPr="005462DF">
        <w:t>. A TCSP may also have to adjust the risk assessment of a particular client based upon information received from a designated competent authority, SRB or other credible sources (including a referring TCSP).</w:t>
      </w:r>
    </w:p>
    <w:p w14:paraId="55500F8E" w14:textId="32E98274" w:rsidR="002E68E5" w:rsidRPr="005462DF" w:rsidRDefault="002E68E5" w:rsidP="00E01B64">
      <w:pPr>
        <w:pStyle w:val="Para"/>
        <w:spacing w:line="228" w:lineRule="auto"/>
      </w:pPr>
      <w:r w:rsidRPr="005462DF">
        <w:t xml:space="preserve">TCSPs may assess ML/TF risks by applying various categories. This provides a strategy for managing potential risks by enabling TCSPs, where required, to subject each client to reasonable and proportionate risk assessment. </w:t>
      </w:r>
    </w:p>
    <w:p w14:paraId="7B71A475" w14:textId="1166DF70" w:rsidR="002E68E5" w:rsidRPr="005462DF" w:rsidRDefault="002E68E5" w:rsidP="00E01B64">
      <w:pPr>
        <w:pStyle w:val="Para"/>
        <w:spacing w:line="228" w:lineRule="auto"/>
      </w:pPr>
      <w:r w:rsidRPr="005462DF">
        <w:t>The weight given to these risk categories (individually or in combination) in assessing the overall risk of potential ML/TF may vary given the size, sophistication, nature and scope of services provided by the TCSP and/or firm. These criteria, however, should be considered holistically and not in isolation. TCSPs, based on their individual practices and reasonable judgements, will need to independently assess the weight to be given to each risk factor.</w:t>
      </w:r>
    </w:p>
    <w:p w14:paraId="51BF0F98" w14:textId="77777777" w:rsidR="002E68E5" w:rsidRPr="005462DF" w:rsidRDefault="002E68E5" w:rsidP="00E01B64">
      <w:pPr>
        <w:pStyle w:val="Para"/>
        <w:spacing w:line="228" w:lineRule="auto"/>
      </w:pPr>
      <w:r w:rsidRPr="005462DF">
        <w:t xml:space="preserve">Although there is no universally accepted set of risk categories, the examples provided in this Guidance are the most commonly identified risk categories. There is no single methodology to apply these risk categories, and the application of these risk categories is intended to provide a suggested framework for approaching the assessment and management of potential ML/TF risks. For smaller firms and sole practitioners, it is advisable to look at the services they offer (e.g. carrying out company management services may entail greater risk than other services). </w:t>
      </w:r>
    </w:p>
    <w:p w14:paraId="29C6140F" w14:textId="44447A3C" w:rsidR="002E68E5" w:rsidRPr="00A946D5" w:rsidRDefault="002E68E5" w:rsidP="00E01B64">
      <w:pPr>
        <w:pStyle w:val="Para"/>
        <w:spacing w:line="228" w:lineRule="auto"/>
      </w:pPr>
      <w:r w:rsidRPr="005462DF">
        <w:t>Criminals deploy a range of techniques and mechanisms to obscure the beneficial ownership of assets and transactions. Many of the common mechanisms/techniques have been compiled by FATF in the</w:t>
      </w:r>
      <w:r>
        <w:t xml:space="preserve"> previous studies, including the 2014 FATF Guidance on Transparency and Beneficial Ownership and the 2018 Joint FATF and Egmont Group Report on Concealment of Beneficial Ownership.  TCSPs </w:t>
      </w:r>
      <w:r w:rsidR="00F420FF">
        <w:t xml:space="preserve">may </w:t>
      </w:r>
      <w:r>
        <w:t xml:space="preserve">refer to the studies for more details on the use of obscuring techniques and relevant case studies.  </w:t>
      </w:r>
    </w:p>
    <w:p w14:paraId="2EFC551F" w14:textId="12122CA3" w:rsidR="002E68E5" w:rsidRPr="00AC7D63" w:rsidRDefault="002E68E5" w:rsidP="00E01B64">
      <w:pPr>
        <w:pStyle w:val="Para"/>
        <w:spacing w:line="228" w:lineRule="auto"/>
      </w:pPr>
      <w:r>
        <w:t>A practical starting point for firms (especially small</w:t>
      </w:r>
      <w:r w:rsidR="00F420FF">
        <w:t>er</w:t>
      </w:r>
      <w:r>
        <w:t xml:space="preserve"> firms) and TCSPs (especially </w:t>
      </w:r>
      <w:r w:rsidRPr="00AC7D63">
        <w:t xml:space="preserve">sole practitioners) would be to take </w:t>
      </w:r>
      <w:r>
        <w:t xml:space="preserve">the following </w:t>
      </w:r>
      <w:r w:rsidRPr="00AC7D63">
        <w:t>approach to every transaction</w:t>
      </w:r>
      <w:r>
        <w:t>; many of these elements are critical to satisfying other obligations owed to clients, such as fiduciary duties</w:t>
      </w:r>
      <w:r w:rsidR="00F420FF">
        <w:t>, and as part of their general regulatory obligations</w:t>
      </w:r>
      <w:r w:rsidRPr="00AC7D63">
        <w:t>:</w:t>
      </w:r>
    </w:p>
    <w:p w14:paraId="215A5FA7" w14:textId="6972207B" w:rsidR="002E68E5" w:rsidRPr="00064106" w:rsidRDefault="00F420FF" w:rsidP="00533ED1">
      <w:pPr>
        <w:pStyle w:val="BulletedList"/>
        <w:numPr>
          <w:ilvl w:val="0"/>
          <w:numId w:val="135"/>
        </w:numPr>
        <w:spacing w:line="228" w:lineRule="auto"/>
      </w:pPr>
      <w:r>
        <w:rPr>
          <w:szCs w:val="22"/>
        </w:rPr>
        <w:t>Know your client</w:t>
      </w:r>
      <w:r w:rsidR="002E68E5" w:rsidRPr="00064106">
        <w:t>: identify the client (and its beneficial owners) and the true “beneficiaries” of the transaction. Obtain an understanding of the source of funds and source of wealth of the client, its owners and the purpose of the transaction.</w:t>
      </w:r>
    </w:p>
    <w:p w14:paraId="231457E5" w14:textId="1739E9C7" w:rsidR="002E68E5" w:rsidRPr="00197C11" w:rsidRDefault="002E68E5" w:rsidP="00533ED1">
      <w:pPr>
        <w:pStyle w:val="BulletedList"/>
        <w:numPr>
          <w:ilvl w:val="0"/>
          <w:numId w:val="135"/>
        </w:numPr>
        <w:spacing w:line="228" w:lineRule="auto"/>
      </w:pPr>
      <w:r w:rsidRPr="00064106">
        <w:lastRenderedPageBreak/>
        <w:t xml:space="preserve">Understand the nature of the work: </w:t>
      </w:r>
      <w:r w:rsidRPr="00064106">
        <w:rPr>
          <w:szCs w:val="22"/>
        </w:rPr>
        <w:t>TCSP</w:t>
      </w:r>
      <w:r w:rsidR="00F420FF">
        <w:rPr>
          <w:szCs w:val="22"/>
        </w:rPr>
        <w:t>s</w:t>
      </w:r>
      <w:r w:rsidRPr="00064106">
        <w:rPr>
          <w:szCs w:val="22"/>
        </w:rPr>
        <w:t xml:space="preserve"> must</w:t>
      </w:r>
      <w:r w:rsidRPr="00064106" w:rsidDel="00FB4568">
        <w:t xml:space="preserve"> </w:t>
      </w:r>
      <w:r w:rsidRPr="00064106">
        <w:t xml:space="preserve">know the exact nature of the service that they are providing and have an understanding of how that work could facilitate the movement or obscuring of the proceeds of crime. </w:t>
      </w:r>
      <w:r w:rsidRPr="00064106">
        <w:rPr>
          <w:szCs w:val="22"/>
        </w:rPr>
        <w:t>Where a TCSP does</w:t>
      </w:r>
      <w:r w:rsidRPr="00064106" w:rsidDel="00FB4568">
        <w:t xml:space="preserve"> </w:t>
      </w:r>
      <w:r w:rsidRPr="00064106">
        <w:t xml:space="preserve">not have </w:t>
      </w:r>
      <w:r w:rsidRPr="00197C11">
        <w:t>the requisite expertise</w:t>
      </w:r>
      <w:r>
        <w:t xml:space="preserve">, the </w:t>
      </w:r>
      <w:r w:rsidR="00F420FF">
        <w:t xml:space="preserve">TCSP </w:t>
      </w:r>
      <w:r>
        <w:t>should not undertake</w:t>
      </w:r>
      <w:r w:rsidR="00F420FF">
        <w:t xml:space="preserve"> the work</w:t>
      </w:r>
      <w:r w:rsidRPr="00197C11">
        <w:t>.</w:t>
      </w:r>
    </w:p>
    <w:p w14:paraId="5E7CB7F1" w14:textId="76149E55" w:rsidR="002E68E5" w:rsidRPr="00197C11" w:rsidRDefault="002E68E5" w:rsidP="00533ED1">
      <w:pPr>
        <w:pStyle w:val="BulletedList"/>
        <w:numPr>
          <w:ilvl w:val="0"/>
          <w:numId w:val="135"/>
        </w:numPr>
        <w:spacing w:line="228" w:lineRule="auto"/>
      </w:pPr>
      <w:r w:rsidRPr="00197C11">
        <w:t xml:space="preserve">Understand the commercial or personal rationale for the work: </w:t>
      </w:r>
      <w:r>
        <w:t>TCSPs need to be</w:t>
      </w:r>
      <w:r w:rsidRPr="00197C11">
        <w:t xml:space="preserve"> reasonably satisf</w:t>
      </w:r>
      <w:r>
        <w:t>ied</w:t>
      </w:r>
      <w:r w:rsidRPr="00197C11">
        <w:t xml:space="preserve"> that there is a commercial or personal rationale for the work </w:t>
      </w:r>
      <w:r>
        <w:t xml:space="preserve">undertaken.  TCSPs however </w:t>
      </w:r>
      <w:r w:rsidRPr="00197C11">
        <w:t xml:space="preserve">are not obliged to objectively assess the commercial or personal rationale if it </w:t>
      </w:r>
      <w:r w:rsidR="00E01B64">
        <w:t>appears reasonable and genuine.</w:t>
      </w:r>
    </w:p>
    <w:p w14:paraId="7903788A" w14:textId="48FFC36D" w:rsidR="002A194C" w:rsidRDefault="00F420FF" w:rsidP="00533ED1">
      <w:pPr>
        <w:pStyle w:val="BulletedList"/>
        <w:numPr>
          <w:ilvl w:val="0"/>
          <w:numId w:val="135"/>
        </w:numPr>
      </w:pPr>
      <w:r>
        <w:rPr>
          <w:szCs w:val="22"/>
        </w:rPr>
        <w:t>B</w:t>
      </w:r>
      <w:r w:rsidRPr="00462BB2">
        <w:rPr>
          <w:szCs w:val="22"/>
        </w:rPr>
        <w:t>e</w:t>
      </w:r>
      <w:r w:rsidRPr="00462BB2">
        <w:t xml:space="preserve"> </w:t>
      </w:r>
      <w:r>
        <w:t>attentive to</w:t>
      </w:r>
      <w:r w:rsidR="002E68E5" w:rsidRPr="00064106">
        <w:t xml:space="preserve"> red flag indicators: exercise vigilance in identifying and then carefully reviewing aspects of the transaction </w:t>
      </w:r>
      <w:r w:rsidR="009C7716" w:rsidRPr="00B54AB6">
        <w:t xml:space="preserve">if there are </w:t>
      </w:r>
      <w:r w:rsidR="009C7716" w:rsidRPr="00B54AB6">
        <w:rPr>
          <w:color w:val="000000"/>
          <w:szCs w:val="22"/>
        </w:rPr>
        <w:t>reasonable grounds to suspect that funds are the proceeds of a criminal activity, or related to terrorist financing</w:t>
      </w:r>
      <w:r w:rsidR="002E68E5" w:rsidRPr="00064106">
        <w:t>.  Documenting the thought process by having an action plan may be a viable option to assist in interpreting red flags/indicators of suspicion.</w:t>
      </w:r>
      <w:r w:rsidR="002A194C">
        <w:t xml:space="preserve"> </w:t>
      </w:r>
      <w:r w:rsidR="002A194C" w:rsidRPr="00064106">
        <w:t>Then consider what action</w:t>
      </w:r>
      <w:r w:rsidR="002A194C" w:rsidRPr="002A194C">
        <w:rPr>
          <w:szCs w:val="22"/>
        </w:rPr>
        <w:t>, if any,</w:t>
      </w:r>
      <w:r w:rsidR="002A194C" w:rsidRPr="00064106">
        <w:t xml:space="preserve"> </w:t>
      </w:r>
      <w:r w:rsidR="002A194C" w:rsidRPr="00197C11">
        <w:t>needs to be taken</w:t>
      </w:r>
      <w:r w:rsidR="002A194C">
        <w:t>.</w:t>
      </w:r>
    </w:p>
    <w:p w14:paraId="2FFD86C4" w14:textId="7AB3CAF7" w:rsidR="002A194C" w:rsidRDefault="002A194C" w:rsidP="00533ED1">
      <w:pPr>
        <w:pStyle w:val="BulletedList"/>
        <w:numPr>
          <w:ilvl w:val="0"/>
          <w:numId w:val="135"/>
        </w:numPr>
      </w:pPr>
      <w:r w:rsidRPr="00462BB2">
        <w:t xml:space="preserve">The outcomes of the above action (i.e. the comprehensive risk </w:t>
      </w:r>
      <w:r>
        <w:t>assessment of a particular client/transaction) will dictate the level and nature of the evidence/documentation collated under a firm’s CDD/EDD procedures (including evidence of source of wealth or funds)</w:t>
      </w:r>
      <w:r w:rsidR="00BC1B4A">
        <w:t>.</w:t>
      </w:r>
    </w:p>
    <w:p w14:paraId="05F51AFF" w14:textId="2D02730F" w:rsidR="002A194C" w:rsidRPr="00064106" w:rsidRDefault="002A194C" w:rsidP="00533ED1">
      <w:pPr>
        <w:pStyle w:val="BulletedList"/>
        <w:numPr>
          <w:ilvl w:val="0"/>
          <w:numId w:val="135"/>
        </w:numPr>
      </w:pPr>
      <w:r>
        <w:t>TCSPs should adequately document and record steps taken under a) to e)</w:t>
      </w:r>
      <w:r w:rsidR="00BC1B4A">
        <w:t>.</w:t>
      </w:r>
    </w:p>
    <w:p w14:paraId="6B56FCFE" w14:textId="1E7A37CE" w:rsidR="0098261F" w:rsidRPr="00764BC6" w:rsidRDefault="00CA6C89" w:rsidP="002E2A00">
      <w:pPr>
        <w:pStyle w:val="Heading3"/>
      </w:pPr>
      <w:bookmarkStart w:id="150" w:name="_Toc1994929"/>
      <w:r>
        <w:rPr>
          <w:u w:color="000000"/>
        </w:rPr>
        <w:t>Country/</w:t>
      </w:r>
      <w:r w:rsidR="0098261F" w:rsidRPr="002E2A00">
        <w:t>Geographic</w:t>
      </w:r>
      <w:r w:rsidR="0098261F" w:rsidRPr="00764BC6">
        <w:rPr>
          <w:spacing w:val="-19"/>
          <w:u w:color="000000"/>
        </w:rPr>
        <w:t xml:space="preserve"> </w:t>
      </w:r>
      <w:r w:rsidR="0098261F" w:rsidRPr="00764BC6">
        <w:rPr>
          <w:u w:color="000000"/>
        </w:rPr>
        <w:t>risk</w:t>
      </w:r>
      <w:bookmarkEnd w:id="150"/>
    </w:p>
    <w:p w14:paraId="033481BB" w14:textId="71E83BF2" w:rsidR="0098261F" w:rsidRPr="00764BC6" w:rsidRDefault="0098261F" w:rsidP="002E2A00">
      <w:pPr>
        <w:pStyle w:val="Para"/>
      </w:pPr>
      <w:r w:rsidRPr="00764BC6">
        <w:t xml:space="preserve">The provision of services by a TCSP may be higher risk when features of </w:t>
      </w:r>
      <w:r w:rsidRPr="00440B41">
        <w:t>such</w:t>
      </w:r>
      <w:r w:rsidRPr="00764BC6">
        <w:t xml:space="preserve"> services are connected to a higher risk country</w:t>
      </w:r>
      <w:r w:rsidR="00452222">
        <w:t>, for example</w:t>
      </w:r>
      <w:r w:rsidRPr="00764BC6">
        <w:t xml:space="preserve">: </w:t>
      </w:r>
    </w:p>
    <w:p w14:paraId="10619451" w14:textId="77777777" w:rsidR="0098261F" w:rsidRPr="00764BC6" w:rsidRDefault="0098261F" w:rsidP="00533ED1">
      <w:pPr>
        <w:pStyle w:val="BulletedList"/>
        <w:numPr>
          <w:ilvl w:val="0"/>
          <w:numId w:val="136"/>
        </w:numPr>
        <w:spacing w:line="228" w:lineRule="auto"/>
      </w:pPr>
      <w:r w:rsidRPr="00764BC6">
        <w:t xml:space="preserve">the origin, or current location of, the source of funds in the trust, company or other legal entity; </w:t>
      </w:r>
    </w:p>
    <w:p w14:paraId="749594CD" w14:textId="0AD3471F" w:rsidR="00AD08CE" w:rsidRDefault="00AD08CE" w:rsidP="00533ED1">
      <w:pPr>
        <w:pStyle w:val="BulletedList"/>
        <w:numPr>
          <w:ilvl w:val="0"/>
          <w:numId w:val="136"/>
        </w:numPr>
        <w:spacing w:line="228" w:lineRule="auto"/>
      </w:pPr>
      <w:r w:rsidRPr="00764BC6">
        <w:t>the country of incorporation or establishment of the trust</w:t>
      </w:r>
      <w:r>
        <w:t>ee of the trust</w:t>
      </w:r>
      <w:r w:rsidRPr="00764BC6">
        <w:t xml:space="preserve">, company or other legal entity; </w:t>
      </w:r>
    </w:p>
    <w:p w14:paraId="7422AC60" w14:textId="3857FC9E" w:rsidR="0098261F" w:rsidRDefault="0098261F" w:rsidP="00533ED1">
      <w:pPr>
        <w:pStyle w:val="BulletedList"/>
        <w:numPr>
          <w:ilvl w:val="0"/>
          <w:numId w:val="136"/>
        </w:numPr>
        <w:spacing w:line="228" w:lineRule="auto"/>
      </w:pPr>
      <w:r w:rsidRPr="00764BC6">
        <w:t xml:space="preserve">the location of the major operations or assets of the trust, company or other legal entity; </w:t>
      </w:r>
      <w:r w:rsidR="00297857">
        <w:t>and</w:t>
      </w:r>
    </w:p>
    <w:p w14:paraId="70B34038" w14:textId="77777777" w:rsidR="00AD08CE" w:rsidRDefault="00AD08CE" w:rsidP="00533ED1">
      <w:pPr>
        <w:pStyle w:val="BulletedList"/>
        <w:numPr>
          <w:ilvl w:val="0"/>
          <w:numId w:val="136"/>
        </w:numPr>
        <w:spacing w:line="228" w:lineRule="auto"/>
      </w:pPr>
      <w:r w:rsidRPr="00764BC6">
        <w:t>the country in which any of the following is a citizen or tax resident: a settlor, beneficiary, protector or other natural person exercising effective control over the trust or any beneficial owner or</w:t>
      </w:r>
      <w:r>
        <w:t xml:space="preserve"> natural</w:t>
      </w:r>
      <w:r w:rsidRPr="00764BC6">
        <w:t xml:space="preserve"> person exercising effective control over the company or other legal entity.</w:t>
      </w:r>
    </w:p>
    <w:p w14:paraId="21FDC799" w14:textId="77777777" w:rsidR="0098261F" w:rsidRDefault="0098261F" w:rsidP="002E2A00">
      <w:pPr>
        <w:pStyle w:val="Para"/>
      </w:pPr>
      <w:r w:rsidRPr="0076153C">
        <w:t>There</w:t>
      </w:r>
      <w:r>
        <w:t xml:space="preserve"> </w:t>
      </w:r>
      <w:r w:rsidRPr="0076153C">
        <w:t>is</w:t>
      </w:r>
      <w:r>
        <w:t xml:space="preserve"> </w:t>
      </w:r>
      <w:r w:rsidRPr="0076153C">
        <w:t>no</w:t>
      </w:r>
      <w:r>
        <w:t xml:space="preserve"> </w:t>
      </w:r>
      <w:r w:rsidRPr="00764BC6">
        <w:rPr>
          <w:szCs w:val="22"/>
        </w:rPr>
        <w:t>universally</w:t>
      </w:r>
      <w:r>
        <w:t xml:space="preserve"> </w:t>
      </w:r>
      <w:r w:rsidRPr="0076153C">
        <w:t>agreed</w:t>
      </w:r>
      <w:r>
        <w:t xml:space="preserve"> </w:t>
      </w:r>
      <w:r w:rsidRPr="0076153C">
        <w:t>definition</w:t>
      </w:r>
      <w:r>
        <w:t xml:space="preserve"> of a higher risk </w:t>
      </w:r>
      <w:r w:rsidRPr="002E2A00">
        <w:t>country</w:t>
      </w:r>
      <w:r>
        <w:t xml:space="preserve"> </w:t>
      </w:r>
      <w:r w:rsidRPr="0076153C">
        <w:t>or geographic area</w:t>
      </w:r>
      <w:r>
        <w:t xml:space="preserve"> but TCSPs should pay attention to</w:t>
      </w:r>
      <w:r w:rsidRPr="0076153C">
        <w:t>:</w:t>
      </w:r>
    </w:p>
    <w:p w14:paraId="1FDF0D07" w14:textId="5E55B640" w:rsidR="0098261F" w:rsidRPr="00EB47F1" w:rsidRDefault="0098261F" w:rsidP="00533ED1">
      <w:pPr>
        <w:pStyle w:val="BulletedList"/>
        <w:numPr>
          <w:ilvl w:val="0"/>
          <w:numId w:val="137"/>
        </w:numPr>
        <w:spacing w:line="228" w:lineRule="auto"/>
      </w:pPr>
      <w:r w:rsidRPr="005E50CE">
        <w:t>Countries/areas identified by credible sources</w:t>
      </w:r>
      <w:r w:rsidR="00920886">
        <w:rPr>
          <w:rStyle w:val="FootnoteReference"/>
        </w:rPr>
        <w:footnoteReference w:id="22"/>
      </w:r>
      <w:r w:rsidRPr="005E50CE">
        <w:t xml:space="preserve"> as providing funding or support for terrorist activities or that have designated terrorist organisations operating within them.</w:t>
      </w:r>
    </w:p>
    <w:p w14:paraId="4B039438" w14:textId="0DF89B6F" w:rsidR="0098261F" w:rsidRPr="00EB47F1" w:rsidRDefault="0098261F" w:rsidP="00533ED1">
      <w:pPr>
        <w:pStyle w:val="BulletedList"/>
        <w:numPr>
          <w:ilvl w:val="0"/>
          <w:numId w:val="137"/>
        </w:numPr>
        <w:spacing w:line="228" w:lineRule="auto"/>
      </w:pPr>
      <w:r w:rsidRPr="005E50CE">
        <w:lastRenderedPageBreak/>
        <w:t xml:space="preserve">Countries identified by credible sources as having significant levels of </w:t>
      </w:r>
      <w:r w:rsidR="00834199" w:rsidRPr="005E50CE">
        <w:t>organi</w:t>
      </w:r>
      <w:r w:rsidR="00834199">
        <w:t>s</w:t>
      </w:r>
      <w:r w:rsidR="00834199" w:rsidRPr="005E50CE">
        <w:t xml:space="preserve">ed </w:t>
      </w:r>
      <w:r w:rsidRPr="005E50CE">
        <w:t xml:space="preserve">crime, corruption, or other criminal activity, including source or transit countries for illegal drugs, human trafficking and smuggling and illegal gambling. </w:t>
      </w:r>
    </w:p>
    <w:p w14:paraId="6359F78B" w14:textId="3E71168C" w:rsidR="0098261F" w:rsidRDefault="0098261F" w:rsidP="00533ED1">
      <w:pPr>
        <w:pStyle w:val="BulletedList"/>
        <w:numPr>
          <w:ilvl w:val="0"/>
          <w:numId w:val="137"/>
        </w:numPr>
        <w:spacing w:line="228" w:lineRule="auto"/>
      </w:pPr>
      <w:r w:rsidRPr="005E50CE">
        <w:t>Countries subject to sanctions, embargoes or similar measures issued by international organisations such as the United Nations</w:t>
      </w:r>
      <w:r w:rsidRPr="008506FE">
        <w:t>.</w:t>
      </w:r>
    </w:p>
    <w:p w14:paraId="0D7A691D" w14:textId="65451E96" w:rsidR="0098261F" w:rsidRPr="00660D1E" w:rsidRDefault="0098261F" w:rsidP="00533ED1">
      <w:pPr>
        <w:pStyle w:val="BulletedList"/>
        <w:numPr>
          <w:ilvl w:val="0"/>
          <w:numId w:val="137"/>
        </w:numPr>
        <w:spacing w:line="228" w:lineRule="auto"/>
      </w:pPr>
      <w:r w:rsidRPr="005E50CE">
        <w:t xml:space="preserve">Countries identified by credible sources as having weak governance, law enforcement, and regulatory regimes, including countries identified by FATF statements as having weak AML/CFT regimes, and for which financial institutions </w:t>
      </w:r>
      <w:r w:rsidR="00F906C3">
        <w:t xml:space="preserve">(as well as DNFBPs) </w:t>
      </w:r>
      <w:r w:rsidRPr="005E50CE">
        <w:t>should give special attention to business relationships and transactions.</w:t>
      </w:r>
    </w:p>
    <w:p w14:paraId="2C1F3A4E" w14:textId="1F8B6EC9" w:rsidR="0098261F" w:rsidRDefault="0098261F" w:rsidP="00533ED1">
      <w:pPr>
        <w:pStyle w:val="BulletedList"/>
        <w:numPr>
          <w:ilvl w:val="0"/>
          <w:numId w:val="137"/>
        </w:numPr>
      </w:pPr>
      <w:r w:rsidRPr="005E50CE">
        <w:t>Countries</w:t>
      </w:r>
      <w:r w:rsidRPr="008264E5">
        <w:t xml:space="preserve"> </w:t>
      </w:r>
      <w:r w:rsidR="00F87DFA">
        <w:t>identified by credible sources</w:t>
      </w:r>
      <w:r w:rsidRPr="008264E5">
        <w:t xml:space="preserve"> to be </w:t>
      </w:r>
      <w:r>
        <w:t xml:space="preserve">uncooperative </w:t>
      </w:r>
      <w:r w:rsidR="00EA5935">
        <w:t>in providing beneficial ownership information</w:t>
      </w:r>
      <w:r w:rsidR="002A5185">
        <w:t xml:space="preserve"> a determination of which may be established from reviewing FATF mutual evaluation reports or reports by organisations </w:t>
      </w:r>
      <w:r w:rsidR="00F906C3">
        <w:t xml:space="preserve">that </w:t>
      </w:r>
      <w:r w:rsidR="002D22AF">
        <w:t xml:space="preserve">also consider </w:t>
      </w:r>
      <w:r w:rsidR="005F62B6">
        <w:t xml:space="preserve">various </w:t>
      </w:r>
      <w:r w:rsidR="002A5185">
        <w:t xml:space="preserve">co-operation levels such as the OECD Global Forum reports on compliance with </w:t>
      </w:r>
      <w:r w:rsidR="005F62B6">
        <w:t xml:space="preserve">international </w:t>
      </w:r>
      <w:r w:rsidR="002A5185">
        <w:t xml:space="preserve">tax </w:t>
      </w:r>
      <w:r w:rsidR="005F62B6">
        <w:t xml:space="preserve">transparency </w:t>
      </w:r>
      <w:r w:rsidR="002A5185">
        <w:t>standards</w:t>
      </w:r>
      <w:r>
        <w:t>.</w:t>
      </w:r>
    </w:p>
    <w:p w14:paraId="450C81BA" w14:textId="7F88CA51" w:rsidR="0098261F" w:rsidRPr="00660D1E" w:rsidRDefault="0098261F" w:rsidP="00533ED1">
      <w:pPr>
        <w:pStyle w:val="BulletedList"/>
        <w:numPr>
          <w:ilvl w:val="0"/>
          <w:numId w:val="137"/>
        </w:numPr>
      </w:pPr>
      <w:r>
        <w:t>Countries that permit the use of bearer shares, thereby allowing beneficial ownerships to be obscured.</w:t>
      </w:r>
    </w:p>
    <w:p w14:paraId="6438D1CA" w14:textId="55502471" w:rsidR="00CA6C89" w:rsidRPr="00E926AF" w:rsidRDefault="00CA6C89" w:rsidP="002E2A00">
      <w:pPr>
        <w:pStyle w:val="Heading3"/>
        <w:rPr>
          <w:u w:color="000000"/>
        </w:rPr>
      </w:pPr>
      <w:bookmarkStart w:id="151" w:name="_Toc1994930"/>
      <w:r w:rsidRPr="00E926AF">
        <w:rPr>
          <w:u w:color="000000"/>
        </w:rPr>
        <w:t>Client risk</w:t>
      </w:r>
      <w:bookmarkEnd w:id="151"/>
    </w:p>
    <w:p w14:paraId="3F803BB0" w14:textId="70237B6D" w:rsidR="00B67E4A" w:rsidRDefault="00B67E4A" w:rsidP="002E2A00">
      <w:pPr>
        <w:pStyle w:val="Para"/>
      </w:pPr>
      <w:r>
        <w:t xml:space="preserve">In the examples given </w:t>
      </w:r>
      <w:r w:rsidRPr="002E2A00">
        <w:t>below</w:t>
      </w:r>
      <w:r>
        <w:t>, the client of TCSPs may be an individual who is a settlor or beneficiary of a trust</w:t>
      </w:r>
      <w:r w:rsidR="00452222">
        <w:t>,</w:t>
      </w:r>
      <w:r>
        <w:t xml:space="preserve"> or beneficial owner of a company</w:t>
      </w:r>
      <w:r w:rsidR="00452222">
        <w:t>,</w:t>
      </w:r>
      <w:r>
        <w:t xml:space="preserve"> or other legal entity that is, for example, trying to obscure the real beneficial owner or natural person exercising effective control of the trust, company or other legal entity. The client may also be a representative of a company’s or other legal entity’s senior management who are, for example, trying to obscure the ownership structure.</w:t>
      </w:r>
    </w:p>
    <w:p w14:paraId="72D50DF1" w14:textId="766829D6" w:rsidR="00CA6C89" w:rsidRPr="00E926AF" w:rsidRDefault="00CA6C89" w:rsidP="002E2A00">
      <w:pPr>
        <w:pStyle w:val="Para"/>
      </w:pPr>
      <w:r w:rsidRPr="00440B41">
        <w:t>The</w:t>
      </w:r>
      <w:r w:rsidRPr="00E926AF">
        <w:t xml:space="preserve"> key risk factors that </w:t>
      </w:r>
      <w:r w:rsidR="00F301AC">
        <w:t>TCSP</w:t>
      </w:r>
      <w:r>
        <w:t>s</w:t>
      </w:r>
      <w:r w:rsidRPr="00E926AF">
        <w:t xml:space="preserve"> </w:t>
      </w:r>
      <w:r w:rsidRPr="002E2A00">
        <w:t>should</w:t>
      </w:r>
      <w:r w:rsidRPr="00E926AF">
        <w:t xml:space="preserve"> consider are:</w:t>
      </w:r>
    </w:p>
    <w:p w14:paraId="0900A8AB" w14:textId="182207EC" w:rsidR="005C1F8F" w:rsidRDefault="005C1F8F" w:rsidP="00533ED1">
      <w:pPr>
        <w:pStyle w:val="BulletedList"/>
        <w:numPr>
          <w:ilvl w:val="0"/>
          <w:numId w:val="138"/>
        </w:numPr>
      </w:pPr>
      <w:r>
        <w:t>T</w:t>
      </w:r>
      <w:r w:rsidRPr="00B5553D">
        <w:t xml:space="preserve">he </w:t>
      </w:r>
      <w:r w:rsidR="006A3862">
        <w:t>TCSP</w:t>
      </w:r>
      <w:r w:rsidR="006A3862" w:rsidRPr="00B5553D">
        <w:t xml:space="preserve">’s client base includes industries or sectors where opportunities for ML/TF are particularly prevalent. </w:t>
      </w:r>
    </w:p>
    <w:p w14:paraId="3DD7D52E" w14:textId="6C96A1C1" w:rsidR="006A3862" w:rsidRDefault="005C1F8F" w:rsidP="00533ED1">
      <w:pPr>
        <w:pStyle w:val="BulletedList"/>
        <w:numPr>
          <w:ilvl w:val="0"/>
          <w:numId w:val="138"/>
        </w:numPr>
      </w:pPr>
      <w:r>
        <w:t xml:space="preserve">The client involves </w:t>
      </w:r>
      <w:r w:rsidR="006A3862" w:rsidRPr="009E6D31">
        <w:t>PEPs and persons closely associated with or related to PEPs, are considered as higher risk clients</w:t>
      </w:r>
      <w:r w:rsidR="006A3862">
        <w:t xml:space="preserve"> (Please refer to the FATF Guidance (2013) on politically-exposed persons for further guidance on how to identify PEPs). </w:t>
      </w:r>
    </w:p>
    <w:p w14:paraId="611F39B4" w14:textId="77777777" w:rsidR="006A3862" w:rsidRPr="004709E6" w:rsidRDefault="006A3862" w:rsidP="00533ED1">
      <w:pPr>
        <w:pStyle w:val="BulletedList"/>
        <w:numPr>
          <w:ilvl w:val="0"/>
          <w:numId w:val="138"/>
        </w:numPr>
      </w:pPr>
      <w:r w:rsidRPr="004709E6">
        <w:t>Clients conducting their business relationship or requesting services in unusual or unconventional circumstances (as evaluated in all the circumstances of the representation).</w:t>
      </w:r>
    </w:p>
    <w:p w14:paraId="0F8578D9" w14:textId="62C3C639" w:rsidR="00816A9A" w:rsidRPr="005F0B97" w:rsidRDefault="006A3862" w:rsidP="00533ED1">
      <w:pPr>
        <w:pStyle w:val="BulletedList"/>
        <w:numPr>
          <w:ilvl w:val="0"/>
          <w:numId w:val="138"/>
        </w:numPr>
      </w:pPr>
      <w:r w:rsidRPr="00670CA7">
        <w:t xml:space="preserve">Clients where the structure or nature of the entity or relationship makes it difficult to identify in a timely </w:t>
      </w:r>
      <w:r>
        <w:t>manner</w:t>
      </w:r>
      <w:r w:rsidRPr="00670CA7">
        <w:t xml:space="preserve"> the true beneficial owner or controlling interests</w:t>
      </w:r>
      <w:r>
        <w:t xml:space="preserve"> or clients attempting to obscure understanding of their business, ownership or the nature of their </w:t>
      </w:r>
      <w:r w:rsidRPr="00D76C8F">
        <w:t>transactions, such as:</w:t>
      </w:r>
      <w:r>
        <w:t xml:space="preserve"> </w:t>
      </w:r>
    </w:p>
    <w:p w14:paraId="57414728" w14:textId="59750B10" w:rsidR="006A3862" w:rsidRDefault="006A3862" w:rsidP="00533ED1">
      <w:pPr>
        <w:pStyle w:val="BulletedList"/>
        <w:numPr>
          <w:ilvl w:val="2"/>
          <w:numId w:val="139"/>
        </w:numPr>
      </w:pPr>
      <w:r w:rsidRPr="00D76C8F">
        <w:t xml:space="preserve">Unexplained use of shell </w:t>
      </w:r>
      <w:r>
        <w:t xml:space="preserve">and shelf </w:t>
      </w:r>
      <w:r w:rsidRPr="00D76C8F">
        <w:t xml:space="preserve">companies, </w:t>
      </w:r>
      <w:r>
        <w:t xml:space="preserve">front company, </w:t>
      </w:r>
      <w:r w:rsidRPr="00D76C8F">
        <w:t xml:space="preserve">legal entities </w:t>
      </w:r>
      <w:r w:rsidR="00253BB9">
        <w:t xml:space="preserve">with ownership </w:t>
      </w:r>
      <w:r w:rsidRPr="00D76C8F">
        <w:t xml:space="preserve">through nominee shares or bearer shares, control through nominee and corporate directors, legal </w:t>
      </w:r>
      <w:r>
        <w:t xml:space="preserve">persons or legal </w:t>
      </w:r>
      <w:r w:rsidRPr="00D76C8F">
        <w:t xml:space="preserve">arrangements, </w:t>
      </w:r>
      <w:r>
        <w:t>splitting company incorporation and asset administration over different countries,</w:t>
      </w:r>
      <w:r w:rsidRPr="00D76C8F">
        <w:t xml:space="preserve"> </w:t>
      </w:r>
      <w:r>
        <w:t xml:space="preserve">all </w:t>
      </w:r>
      <w:r w:rsidRPr="00D76C8F">
        <w:t>without any apparent legal or legitimate tax, business, economic or other reason</w:t>
      </w:r>
      <w:r w:rsidRPr="00DE5C8D">
        <w:t>.</w:t>
      </w:r>
    </w:p>
    <w:p w14:paraId="750D97C7" w14:textId="631FD528" w:rsidR="00816A9A" w:rsidRPr="005F0B97" w:rsidRDefault="00816A9A" w:rsidP="00533ED1">
      <w:pPr>
        <w:pStyle w:val="BulletedList"/>
        <w:numPr>
          <w:ilvl w:val="2"/>
          <w:numId w:val="139"/>
        </w:numPr>
      </w:pPr>
      <w:r w:rsidRPr="005F0B97">
        <w:lastRenderedPageBreak/>
        <w:t>Unexplained use of informal arrangements such as family or close associates acting as nominee shareholders or directors</w:t>
      </w:r>
      <w:r>
        <w:t xml:space="preserve"> </w:t>
      </w:r>
      <w:r w:rsidRPr="005A5408">
        <w:t>without any apparent legal or legitimate tax, business, economic or other reason</w:t>
      </w:r>
      <w:r w:rsidRPr="005F0B97">
        <w:t xml:space="preserve">. </w:t>
      </w:r>
    </w:p>
    <w:p w14:paraId="3361D0D6" w14:textId="102DA5E7" w:rsidR="00A16D3B" w:rsidRDefault="00816A9A" w:rsidP="00E83EEE">
      <w:pPr>
        <w:pStyle w:val="BulletedList"/>
        <w:numPr>
          <w:ilvl w:val="0"/>
          <w:numId w:val="138"/>
        </w:numPr>
      </w:pPr>
      <w:r w:rsidRPr="005F0B97">
        <w:t>Unusual complexity in control or ownership structures without a clear explanation</w:t>
      </w:r>
      <w:r w:rsidR="00E528B9">
        <w:t>,</w:t>
      </w:r>
      <w:r w:rsidRPr="00E926AF">
        <w:t xml:space="preserve"> </w:t>
      </w:r>
      <w:r w:rsidR="00A16D3B" w:rsidRPr="00E926AF">
        <w:t xml:space="preserve">where certain transactions, structures, geographical location, international activities or other factors are not </w:t>
      </w:r>
      <w:r w:rsidR="00253BB9">
        <w:t>consistent</w:t>
      </w:r>
      <w:r w:rsidR="00A16D3B" w:rsidRPr="00E926AF">
        <w:t xml:space="preserve"> with </w:t>
      </w:r>
      <w:r w:rsidR="00253BB9">
        <w:t xml:space="preserve">the </w:t>
      </w:r>
      <w:r w:rsidR="00E528B9">
        <w:t>TCSP</w:t>
      </w:r>
      <w:r w:rsidR="00E528B9" w:rsidRPr="00E926AF">
        <w:t>’</w:t>
      </w:r>
      <w:r w:rsidR="00E528B9">
        <w:t>s</w:t>
      </w:r>
      <w:r w:rsidR="00A16D3B" w:rsidRPr="00E926AF">
        <w:t xml:space="preserve"> understanding of the client’s bu</w:t>
      </w:r>
      <w:r w:rsidR="00A16D3B">
        <w:t>siness or economic purpose behind the establishment or administration of the trust, company or other legal entity with respect to which the TCSPs are providing services.</w:t>
      </w:r>
    </w:p>
    <w:p w14:paraId="6F1C2A87" w14:textId="77777777" w:rsidR="00CF52DF" w:rsidRDefault="00CA6C89" w:rsidP="00E83EEE">
      <w:pPr>
        <w:pStyle w:val="BulletedList"/>
        <w:numPr>
          <w:ilvl w:val="0"/>
          <w:numId w:val="138"/>
        </w:numPr>
        <w:spacing w:line="228" w:lineRule="auto"/>
      </w:pPr>
      <w:r w:rsidRPr="002B63C2">
        <w:t>Unusually high levels of assets or unusually large tr</w:t>
      </w:r>
      <w:r w:rsidRPr="005A5408">
        <w:t xml:space="preserve">ansactions compared to what might reasonably be expected of clients with a similar profile may indicate that a client not otherwise seen as higher risk should be treated as such. Conversely, low levels of assets or low value transactions involving a client that would otherwise appear to be higher risk might allow for a </w:t>
      </w:r>
      <w:r w:rsidR="00775D30">
        <w:t>TCSP</w:t>
      </w:r>
      <w:r w:rsidRPr="005A5408">
        <w:t xml:space="preserve"> to treat the client as lower risk.</w:t>
      </w:r>
      <w:r>
        <w:t xml:space="preserve"> </w:t>
      </w:r>
    </w:p>
    <w:p w14:paraId="2158CA26" w14:textId="5B4AC0B0" w:rsidR="00343BD7" w:rsidRDefault="00343BD7" w:rsidP="00E83EEE">
      <w:pPr>
        <w:pStyle w:val="BulletedList"/>
        <w:numPr>
          <w:ilvl w:val="0"/>
          <w:numId w:val="138"/>
        </w:numPr>
        <w:spacing w:line="228" w:lineRule="auto"/>
      </w:pPr>
      <w:r>
        <w:t>The offer by the person giving instructions to the TCSP to pay extraordinary fees for services, which would not ordinarily warrant such a premium.</w:t>
      </w:r>
    </w:p>
    <w:p w14:paraId="1E5D7E2A" w14:textId="77777777" w:rsidR="00343BD7" w:rsidRPr="00D46D07" w:rsidRDefault="00343BD7" w:rsidP="00E83EEE">
      <w:pPr>
        <w:pStyle w:val="BulletedList"/>
        <w:numPr>
          <w:ilvl w:val="0"/>
          <w:numId w:val="138"/>
        </w:numPr>
        <w:spacing w:line="228" w:lineRule="auto"/>
      </w:pPr>
      <w:r w:rsidRPr="00D46D07">
        <w:t>Client’s instructions or funds are outside of their personal or business sector profile (e.g. unusually high levels of assets or unusually large transactions).</w:t>
      </w:r>
      <w:r>
        <w:t xml:space="preserve"> </w:t>
      </w:r>
    </w:p>
    <w:p w14:paraId="26BD5D98" w14:textId="36BCF913" w:rsidR="00343BD7" w:rsidRPr="00D46D07" w:rsidRDefault="00B35F8E" w:rsidP="00E83EEE">
      <w:pPr>
        <w:pStyle w:val="BulletedList"/>
        <w:numPr>
          <w:ilvl w:val="0"/>
          <w:numId w:val="138"/>
        </w:numPr>
        <w:spacing w:line="228" w:lineRule="auto"/>
      </w:pPr>
      <w:r>
        <w:t>The relationship between e</w:t>
      </w:r>
      <w:r w:rsidR="00343BD7" w:rsidRPr="00D46D07">
        <w:t>mployee number</w:t>
      </w:r>
      <w:r>
        <w:t>s/</w:t>
      </w:r>
      <w:r w:rsidR="00343BD7" w:rsidRPr="00D46D07">
        <w:t xml:space="preserve">structure </w:t>
      </w:r>
      <w:r>
        <w:t xml:space="preserve">is divergent from the industry norm </w:t>
      </w:r>
      <w:r w:rsidR="00343BD7" w:rsidRPr="00D46D07">
        <w:t>(</w:t>
      </w:r>
      <w:r>
        <w:t xml:space="preserve">e.g. </w:t>
      </w:r>
      <w:r w:rsidR="00343BD7" w:rsidRPr="00D46D07">
        <w:t>the turnover of a company is unreasonably high considering the number of employees and assets</w:t>
      </w:r>
      <w:r>
        <w:t xml:space="preserve"> compared to similar businesses</w:t>
      </w:r>
      <w:r w:rsidR="00343BD7">
        <w:t>)</w:t>
      </w:r>
    </w:p>
    <w:p w14:paraId="49BC5634" w14:textId="77777777" w:rsidR="00343BD7" w:rsidRPr="00D46D07" w:rsidRDefault="00343BD7" w:rsidP="00E83EEE">
      <w:pPr>
        <w:pStyle w:val="BulletedList"/>
        <w:numPr>
          <w:ilvl w:val="0"/>
          <w:numId w:val="138"/>
        </w:numPr>
        <w:spacing w:line="228" w:lineRule="auto"/>
      </w:pPr>
      <w:r w:rsidRPr="00D46D07">
        <w:t xml:space="preserve">Sudden activity from a previously </w:t>
      </w:r>
      <w:r>
        <w:t>dormant</w:t>
      </w:r>
      <w:r w:rsidRPr="00CF52DF">
        <w:t xml:space="preserve"> </w:t>
      </w:r>
      <w:r>
        <w:t>client without a clear explanation.</w:t>
      </w:r>
    </w:p>
    <w:p w14:paraId="5943D564" w14:textId="0AAC16E3" w:rsidR="00343BD7" w:rsidRPr="00D46D07" w:rsidRDefault="00343BD7" w:rsidP="00E83EEE">
      <w:pPr>
        <w:pStyle w:val="BulletedList"/>
        <w:numPr>
          <w:ilvl w:val="0"/>
          <w:numId w:val="138"/>
        </w:numPr>
        <w:spacing w:line="228" w:lineRule="auto"/>
      </w:pPr>
      <w:r w:rsidRPr="00D46D07">
        <w:t xml:space="preserve">Client starts or develops an enterprise with unexpected profile or </w:t>
      </w:r>
      <w:r w:rsidR="00035DB0">
        <w:t>abnormal business cycles</w:t>
      </w:r>
      <w:r w:rsidR="00B35F8E">
        <w:t xml:space="preserve"> or client is entrant into new/emerging markets. Organised </w:t>
      </w:r>
      <w:r w:rsidR="00F420FF">
        <w:t xml:space="preserve">criminality </w:t>
      </w:r>
      <w:r w:rsidR="00B35F8E">
        <w:t xml:space="preserve">generally does not have to raise capital/debt, often making them first into a new market, especially where this market may be retail/cash intensive. </w:t>
      </w:r>
      <w:r>
        <w:t xml:space="preserve"> </w:t>
      </w:r>
    </w:p>
    <w:p w14:paraId="1A5E48A1" w14:textId="77777777" w:rsidR="00343BD7" w:rsidRPr="00D46D07" w:rsidRDefault="00343BD7" w:rsidP="00E83EEE">
      <w:pPr>
        <w:pStyle w:val="BulletedList"/>
        <w:numPr>
          <w:ilvl w:val="0"/>
          <w:numId w:val="138"/>
        </w:numPr>
        <w:spacing w:line="228" w:lineRule="auto"/>
      </w:pPr>
      <w:r w:rsidRPr="00D46D07">
        <w:t>Indicators that client does not wish to obtain necessary governmental approvals/filings, etc.</w:t>
      </w:r>
      <w:r>
        <w:t xml:space="preserve"> </w:t>
      </w:r>
    </w:p>
    <w:p w14:paraId="2E150029" w14:textId="77777777" w:rsidR="00343BD7" w:rsidRPr="00D46D07" w:rsidRDefault="00343BD7" w:rsidP="00E83EEE">
      <w:pPr>
        <w:pStyle w:val="BulletedList"/>
        <w:numPr>
          <w:ilvl w:val="0"/>
          <w:numId w:val="138"/>
        </w:numPr>
        <w:spacing w:line="228" w:lineRule="auto"/>
      </w:pPr>
      <w:r w:rsidRPr="00D46D07">
        <w:t>Payments received from un-associated or unknown third parties and payments for fees in cash where this would not be a typical method of payment.</w:t>
      </w:r>
      <w:r>
        <w:t xml:space="preserve"> </w:t>
      </w:r>
    </w:p>
    <w:p w14:paraId="76B3FD28" w14:textId="0C0F961B" w:rsidR="00343BD7" w:rsidRDefault="00343BD7" w:rsidP="00E83EEE">
      <w:pPr>
        <w:pStyle w:val="BulletedList"/>
        <w:numPr>
          <w:ilvl w:val="0"/>
          <w:numId w:val="138"/>
        </w:numPr>
        <w:spacing w:line="228" w:lineRule="auto"/>
      </w:pPr>
      <w:r w:rsidRPr="00D46D07">
        <w:t xml:space="preserve">Clients who have funds that are obviously and inexplicably disproportionate to their circumstances (e.g. their age, income, </w:t>
      </w:r>
      <w:r w:rsidR="00B35F8E">
        <w:t xml:space="preserve">occupation </w:t>
      </w:r>
      <w:r w:rsidRPr="00D46D07">
        <w:t>or wealth).</w:t>
      </w:r>
      <w:r>
        <w:t xml:space="preserve"> </w:t>
      </w:r>
    </w:p>
    <w:p w14:paraId="49EF057B" w14:textId="77777777" w:rsidR="00CF52DF" w:rsidRPr="0076153C" w:rsidRDefault="00CF52DF" w:rsidP="00E83EEE">
      <w:pPr>
        <w:pStyle w:val="BulletedList"/>
        <w:numPr>
          <w:ilvl w:val="0"/>
          <w:numId w:val="138"/>
        </w:numPr>
        <w:spacing w:line="228" w:lineRule="auto"/>
      </w:pPr>
      <w:r w:rsidRPr="0076153C">
        <w:t>Lack</w:t>
      </w:r>
      <w:r w:rsidRPr="005E50CE">
        <w:t xml:space="preserve"> </w:t>
      </w:r>
      <w:r w:rsidRPr="0076153C">
        <w:t xml:space="preserve">of face-to-face introduction of </w:t>
      </w:r>
      <w:r>
        <w:t>the person purporting to be the real beneficial owner or natural person exercising effective control, when this would normally be expected</w:t>
      </w:r>
      <w:r w:rsidRPr="0076153C">
        <w:t>.</w:t>
      </w:r>
    </w:p>
    <w:p w14:paraId="71B22B81" w14:textId="77777777" w:rsidR="00CF52DF" w:rsidRPr="0076153C" w:rsidRDefault="00CF52DF" w:rsidP="00E83EEE">
      <w:pPr>
        <w:pStyle w:val="BulletedList"/>
        <w:numPr>
          <w:ilvl w:val="0"/>
          <w:numId w:val="138"/>
        </w:numPr>
        <w:spacing w:line="228" w:lineRule="auto"/>
      </w:pPr>
      <w:r w:rsidRPr="0076153C">
        <w:t>Subsequent lack of contact, when this would normally be expected.</w:t>
      </w:r>
    </w:p>
    <w:p w14:paraId="1B9B5BA0" w14:textId="77777777" w:rsidR="00CF52DF" w:rsidRPr="0076153C" w:rsidRDefault="00CF52DF" w:rsidP="00E83EEE">
      <w:pPr>
        <w:pStyle w:val="BulletedList"/>
        <w:numPr>
          <w:ilvl w:val="0"/>
          <w:numId w:val="138"/>
        </w:numPr>
        <w:spacing w:line="228" w:lineRule="auto"/>
      </w:pPr>
      <w:r w:rsidRPr="0076153C">
        <w:t>Inexplicable changes in ownership.</w:t>
      </w:r>
    </w:p>
    <w:p w14:paraId="3216CB70" w14:textId="77777777" w:rsidR="00CF52DF" w:rsidRPr="0076153C" w:rsidRDefault="00CF52DF" w:rsidP="00E83EEE">
      <w:pPr>
        <w:pStyle w:val="BulletedList"/>
        <w:numPr>
          <w:ilvl w:val="0"/>
          <w:numId w:val="138"/>
        </w:numPr>
        <w:spacing w:line="228" w:lineRule="auto"/>
      </w:pPr>
      <w:r>
        <w:t>A</w:t>
      </w:r>
      <w:r w:rsidRPr="0076153C">
        <w:t xml:space="preserve">ctivities </w:t>
      </w:r>
      <w:r>
        <w:t xml:space="preserve">of the trust, company or other legal entity </w:t>
      </w:r>
      <w:r w:rsidRPr="0076153C">
        <w:t>are unclear.</w:t>
      </w:r>
    </w:p>
    <w:p w14:paraId="2F875803" w14:textId="77777777" w:rsidR="00CF52DF" w:rsidRDefault="00CF52DF" w:rsidP="00E83EEE">
      <w:pPr>
        <w:pStyle w:val="BulletedList"/>
        <w:numPr>
          <w:ilvl w:val="0"/>
          <w:numId w:val="138"/>
        </w:numPr>
        <w:spacing w:line="228" w:lineRule="auto"/>
      </w:pPr>
      <w:r>
        <w:t>The l</w:t>
      </w:r>
      <w:r w:rsidRPr="0076153C">
        <w:t xml:space="preserve">egal structure has been altered </w:t>
      </w:r>
      <w:r>
        <w:t xml:space="preserve">frequently and/or without adequate explanation </w:t>
      </w:r>
      <w:r w:rsidRPr="0076153C">
        <w:t>(</w:t>
      </w:r>
      <w:r>
        <w:t xml:space="preserve">e.g. </w:t>
      </w:r>
      <w:r w:rsidRPr="0076153C">
        <w:t xml:space="preserve">name changes, transfer of ownership, </w:t>
      </w:r>
      <w:r>
        <w:t xml:space="preserve">change of beneficiaries, change of trustee or protector, change of partners, </w:t>
      </w:r>
      <w:r w:rsidRPr="0076153C">
        <w:t xml:space="preserve">change of </w:t>
      </w:r>
      <w:r>
        <w:t>directors or officers).</w:t>
      </w:r>
    </w:p>
    <w:p w14:paraId="76483A23" w14:textId="77777777" w:rsidR="00CF52DF" w:rsidRPr="0076153C" w:rsidRDefault="00CF52DF" w:rsidP="00E83EEE">
      <w:pPr>
        <w:pStyle w:val="BulletedList"/>
        <w:numPr>
          <w:ilvl w:val="0"/>
          <w:numId w:val="138"/>
        </w:numPr>
        <w:spacing w:line="228" w:lineRule="auto"/>
      </w:pPr>
      <w:r w:rsidRPr="0076153C">
        <w:t xml:space="preserve">Management </w:t>
      </w:r>
      <w:r>
        <w:t xml:space="preserve">of any trustee, company or legal entity </w:t>
      </w:r>
      <w:r w:rsidRPr="0076153C">
        <w:t>appear</w:t>
      </w:r>
      <w:r>
        <w:t>s</w:t>
      </w:r>
      <w:r w:rsidRPr="0076153C">
        <w:t xml:space="preserve"> to be acting according to instructions of unknown or inappropriate person(s).</w:t>
      </w:r>
    </w:p>
    <w:p w14:paraId="4BEB42C1" w14:textId="77777777" w:rsidR="00CF52DF" w:rsidRPr="0076153C" w:rsidRDefault="00CF52DF" w:rsidP="00E83EEE">
      <w:pPr>
        <w:pStyle w:val="BulletedList"/>
        <w:numPr>
          <w:ilvl w:val="0"/>
          <w:numId w:val="138"/>
        </w:numPr>
        <w:spacing w:line="228" w:lineRule="auto"/>
      </w:pPr>
      <w:r>
        <w:lastRenderedPageBreak/>
        <w:t>Unreasonable</w:t>
      </w:r>
      <w:r w:rsidRPr="0076153C">
        <w:t xml:space="preserve"> </w:t>
      </w:r>
      <w:r>
        <w:t>choice of TCSP without a clear explanation</w:t>
      </w:r>
      <w:r w:rsidRPr="0076153C">
        <w:t xml:space="preserve">, given the size, location or </w:t>
      </w:r>
      <w:r>
        <w:t>specialisation of the TCSP</w:t>
      </w:r>
      <w:r w:rsidRPr="0076153C">
        <w:t>.</w:t>
      </w:r>
    </w:p>
    <w:p w14:paraId="1B6CD1A3" w14:textId="77777777" w:rsidR="00CF52DF" w:rsidRPr="0076153C" w:rsidRDefault="00CF52DF" w:rsidP="00E83EEE">
      <w:pPr>
        <w:pStyle w:val="BulletedList"/>
        <w:numPr>
          <w:ilvl w:val="0"/>
          <w:numId w:val="138"/>
        </w:numPr>
        <w:spacing w:line="228" w:lineRule="auto"/>
      </w:pPr>
      <w:r w:rsidRPr="0076153C">
        <w:t>Frequent or unexplained change of professional adviser(s) or members of management</w:t>
      </w:r>
      <w:r>
        <w:t xml:space="preserve"> of the trustee, company or other legal entity</w:t>
      </w:r>
      <w:r w:rsidRPr="0076153C">
        <w:t>.</w:t>
      </w:r>
    </w:p>
    <w:p w14:paraId="38B326CB" w14:textId="77777777" w:rsidR="00CF52DF" w:rsidRDefault="00CF52DF" w:rsidP="00E83EEE">
      <w:pPr>
        <w:pStyle w:val="BulletedList"/>
        <w:numPr>
          <w:ilvl w:val="0"/>
          <w:numId w:val="138"/>
        </w:numPr>
        <w:spacing w:line="228" w:lineRule="auto"/>
      </w:pPr>
      <w:r w:rsidRPr="0076153C">
        <w:t xml:space="preserve">The </w:t>
      </w:r>
      <w:r>
        <w:t xml:space="preserve">person giving instructions to the TCSP </w:t>
      </w:r>
      <w:r w:rsidRPr="0076153C">
        <w:t xml:space="preserve">is reluctant to provide all the relevant information or the </w:t>
      </w:r>
      <w:r>
        <w:t xml:space="preserve">TCSP </w:t>
      </w:r>
      <w:r w:rsidRPr="0076153C">
        <w:t>has reasonable doubt that the provided information is correct or sufficient.</w:t>
      </w:r>
    </w:p>
    <w:p w14:paraId="4BE405A6" w14:textId="74F468D1" w:rsidR="00CF52DF" w:rsidRDefault="00CF52DF" w:rsidP="00E83EEE">
      <w:pPr>
        <w:pStyle w:val="BulletedList"/>
        <w:numPr>
          <w:ilvl w:val="0"/>
          <w:numId w:val="138"/>
        </w:numPr>
        <w:spacing w:line="228" w:lineRule="auto"/>
      </w:pPr>
      <w:r w:rsidRPr="000C776A">
        <w:t xml:space="preserve">Clients who request that transactions be completed in </w:t>
      </w:r>
      <w:r>
        <w:t xml:space="preserve">unusually tight or accelerated </w:t>
      </w:r>
      <w:r w:rsidR="00EA560A">
        <w:t xml:space="preserve">timeframes without a </w:t>
      </w:r>
      <w:r w:rsidR="00DE5EF1">
        <w:t>reasonable</w:t>
      </w:r>
      <w:r w:rsidR="00EA560A">
        <w:t xml:space="preserve"> explanation for accelerating the transaction</w:t>
      </w:r>
      <w:r w:rsidR="00DE5EF1">
        <w:t>,</w:t>
      </w:r>
      <w:r w:rsidR="00EA560A">
        <w:t xml:space="preserve"> which </w:t>
      </w:r>
      <w:r w:rsidR="00EA560A" w:rsidRPr="000C776A">
        <w:t xml:space="preserve">would make it difficult or impossible for </w:t>
      </w:r>
      <w:r w:rsidR="00EA560A">
        <w:t>TCSPs</w:t>
      </w:r>
      <w:r w:rsidR="00EA560A" w:rsidRPr="000C776A">
        <w:t xml:space="preserve"> to perform a proper risk assessment</w:t>
      </w:r>
      <w:r w:rsidR="00EA560A">
        <w:t>.</w:t>
      </w:r>
      <w:r>
        <w:t xml:space="preserve"> </w:t>
      </w:r>
    </w:p>
    <w:p w14:paraId="05B98B39" w14:textId="6318DA84" w:rsidR="00CF52DF" w:rsidRDefault="00CF52DF" w:rsidP="00E83EEE">
      <w:pPr>
        <w:pStyle w:val="BulletedList"/>
        <w:numPr>
          <w:ilvl w:val="0"/>
          <w:numId w:val="138"/>
        </w:numPr>
      </w:pPr>
      <w:r w:rsidRPr="000C776A">
        <w:t>Clients who insist</w:t>
      </w:r>
      <w:r w:rsidR="00F420FF">
        <w:t>, without adequate justification or explanation,</w:t>
      </w:r>
      <w:r w:rsidRPr="000C776A">
        <w:t xml:space="preserve"> that transactions be effected exclusively or mainly through the use of virtual </w:t>
      </w:r>
      <w:r>
        <w:t>assets</w:t>
      </w:r>
      <w:r w:rsidRPr="000C776A">
        <w:t xml:space="preserve"> for the purpose of preserving their anonymity.</w:t>
      </w:r>
      <w:r>
        <w:t xml:space="preserve"> </w:t>
      </w:r>
    </w:p>
    <w:p w14:paraId="3A1EBBFC" w14:textId="77777777" w:rsidR="00CF52DF" w:rsidRDefault="00CF52DF" w:rsidP="00E83EEE">
      <w:pPr>
        <w:pStyle w:val="BulletedList"/>
        <w:numPr>
          <w:ilvl w:val="0"/>
          <w:numId w:val="138"/>
        </w:numPr>
      </w:pPr>
      <w:r w:rsidRPr="000C776A">
        <w:t xml:space="preserve">Clients having convictions for proceeds generating crimes who instruct the </w:t>
      </w:r>
      <w:r>
        <w:t>TCSP</w:t>
      </w:r>
      <w:r w:rsidRPr="000C776A">
        <w:t xml:space="preserve"> (who has actual knowledge of such convictions) to undertake specified activities on their behalf.</w:t>
      </w:r>
      <w:r>
        <w:t xml:space="preserve"> </w:t>
      </w:r>
    </w:p>
    <w:p w14:paraId="1942B672" w14:textId="3E11C03C" w:rsidR="00B35F8E" w:rsidRPr="00197C11" w:rsidRDefault="00CF52DF" w:rsidP="00E83EEE">
      <w:pPr>
        <w:pStyle w:val="BulletedList"/>
        <w:numPr>
          <w:ilvl w:val="0"/>
          <w:numId w:val="138"/>
        </w:numPr>
      </w:pPr>
      <w:r w:rsidRPr="000C776A">
        <w:t>Clients who change their means of payment for a transaction at the last minute and without justification (or with suspect justification), or where there is a lack of information or transparency in the transaction.</w:t>
      </w:r>
      <w:r>
        <w:t xml:space="preserve"> </w:t>
      </w:r>
      <w:r w:rsidR="00B35F8E">
        <w:t xml:space="preserve">This risk extends to situations where last minute changes are made to enable funds to be paid in from/out to a </w:t>
      </w:r>
      <w:r w:rsidR="00F420FF">
        <w:t xml:space="preserve">third </w:t>
      </w:r>
      <w:r w:rsidR="00B35F8E">
        <w:t>party.</w:t>
      </w:r>
    </w:p>
    <w:p w14:paraId="678F179B" w14:textId="598F1C1F" w:rsidR="006A3862" w:rsidRPr="00D46D07" w:rsidRDefault="006A3862" w:rsidP="00E83EEE">
      <w:pPr>
        <w:pStyle w:val="BulletedList"/>
        <w:numPr>
          <w:ilvl w:val="0"/>
          <w:numId w:val="138"/>
        </w:numPr>
      </w:pPr>
      <w:r>
        <w:t>The transfer of the seat of a company to another jurisdiction without any genuine economic activity in the country of destination poses a risk of creation of shell companies which might be used to obscure beneficial ownership.</w:t>
      </w:r>
    </w:p>
    <w:p w14:paraId="737D704A" w14:textId="77777777" w:rsidR="0098261F" w:rsidRPr="00B763DD" w:rsidRDefault="0098261F" w:rsidP="002E2A00">
      <w:pPr>
        <w:pStyle w:val="Heading3"/>
      </w:pPr>
      <w:bookmarkStart w:id="152" w:name="_Toc530407830"/>
      <w:bookmarkStart w:id="153" w:name="_Toc530408019"/>
      <w:bookmarkStart w:id="154" w:name="_Toc530407831"/>
      <w:bookmarkStart w:id="155" w:name="_Toc530408020"/>
      <w:bookmarkStart w:id="156" w:name="_Toc530407832"/>
      <w:bookmarkStart w:id="157" w:name="_Toc530408021"/>
      <w:bookmarkStart w:id="158" w:name="_Toc530407833"/>
      <w:bookmarkStart w:id="159" w:name="_Toc530408022"/>
      <w:bookmarkStart w:id="160" w:name="_Toc530407834"/>
      <w:bookmarkStart w:id="161" w:name="_Toc530408023"/>
      <w:bookmarkStart w:id="162" w:name="_Toc530407835"/>
      <w:bookmarkStart w:id="163" w:name="_Toc530408024"/>
      <w:bookmarkStart w:id="164" w:name="_Toc530407836"/>
      <w:bookmarkStart w:id="165" w:name="_Toc530408025"/>
      <w:bookmarkStart w:id="166" w:name="_Toc533169584"/>
      <w:bookmarkStart w:id="167" w:name="_Toc533169585"/>
      <w:bookmarkStart w:id="168" w:name="_Toc533169586"/>
      <w:bookmarkStart w:id="169" w:name="_Toc533169587"/>
      <w:bookmarkStart w:id="170" w:name="_Toc533169588"/>
      <w:bookmarkStart w:id="171" w:name="_Toc533169589"/>
      <w:bookmarkStart w:id="172" w:name="_Toc533169590"/>
      <w:bookmarkStart w:id="173" w:name="_Toc533169591"/>
      <w:bookmarkStart w:id="174" w:name="_Toc533169592"/>
      <w:bookmarkStart w:id="175" w:name="_Toc533169593"/>
      <w:bookmarkStart w:id="176" w:name="_Toc533169594"/>
      <w:bookmarkStart w:id="177" w:name="_Toc533169595"/>
      <w:bookmarkStart w:id="178" w:name="_Toc533169596"/>
      <w:bookmarkStart w:id="179" w:name="_Toc533169597"/>
      <w:bookmarkStart w:id="180" w:name="_Toc533169598"/>
      <w:bookmarkStart w:id="181" w:name="_Toc533169599"/>
      <w:bookmarkStart w:id="182" w:name="_Toc533169600"/>
      <w:bookmarkStart w:id="183" w:name="_Toc530407838"/>
      <w:bookmarkStart w:id="184" w:name="_Toc530408027"/>
      <w:bookmarkStart w:id="185" w:name="_Toc530407839"/>
      <w:bookmarkStart w:id="186" w:name="_Toc530408028"/>
      <w:bookmarkStart w:id="187" w:name="_Toc533169601"/>
      <w:bookmarkStart w:id="188" w:name="_Toc533169602"/>
      <w:bookmarkStart w:id="189" w:name="_Toc533169603"/>
      <w:bookmarkStart w:id="190" w:name="_Toc533169604"/>
      <w:bookmarkStart w:id="191" w:name="_Toc533169605"/>
      <w:bookmarkStart w:id="192" w:name="_Toc533169606"/>
      <w:bookmarkStart w:id="193" w:name="_Toc533169607"/>
      <w:bookmarkStart w:id="194" w:name="_Toc533169608"/>
      <w:bookmarkStart w:id="195" w:name="_Toc533169609"/>
      <w:bookmarkStart w:id="196" w:name="_Toc533169610"/>
      <w:bookmarkStart w:id="197" w:name="_Toc533169611"/>
      <w:bookmarkStart w:id="198" w:name="_Toc533169612"/>
      <w:bookmarkStart w:id="199" w:name="_Toc533169613"/>
      <w:bookmarkStart w:id="200" w:name="_Toc530407841"/>
      <w:bookmarkStart w:id="201" w:name="_Toc530408030"/>
      <w:bookmarkStart w:id="202" w:name="_Toc533169614"/>
      <w:bookmarkStart w:id="203" w:name="_Toc533169615"/>
      <w:bookmarkStart w:id="204" w:name="_Toc533169616"/>
      <w:bookmarkStart w:id="205" w:name="_Toc533169617"/>
      <w:bookmarkStart w:id="206" w:name="_Toc533169618"/>
      <w:bookmarkStart w:id="207" w:name="_Toc533169619"/>
      <w:bookmarkStart w:id="208" w:name="_Toc533169620"/>
      <w:bookmarkStart w:id="209" w:name="_Toc533169621"/>
      <w:bookmarkStart w:id="210" w:name="_Toc533169622"/>
      <w:bookmarkStart w:id="211" w:name="_Toc533169623"/>
      <w:bookmarkStart w:id="212" w:name="_Toc533169624"/>
      <w:bookmarkStart w:id="213" w:name="_Toc533169625"/>
      <w:bookmarkStart w:id="214" w:name="_Toc533169626"/>
      <w:bookmarkStart w:id="215" w:name="_Toc533169627"/>
      <w:bookmarkStart w:id="216" w:name="_Toc533169628"/>
      <w:bookmarkStart w:id="217" w:name="_Toc199493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r>
        <w:t>Transaction/</w:t>
      </w:r>
      <w:r w:rsidRPr="002E2A00">
        <w:t>service</w:t>
      </w:r>
      <w:r w:rsidRPr="00B763DD">
        <w:t xml:space="preserve"> Risk</w:t>
      </w:r>
      <w:bookmarkEnd w:id="217"/>
    </w:p>
    <w:p w14:paraId="2E49B5DA" w14:textId="77777777" w:rsidR="0098261F" w:rsidRDefault="0098261F" w:rsidP="002E2A00">
      <w:pPr>
        <w:pStyle w:val="Para"/>
      </w:pPr>
      <w:r w:rsidRPr="0076153C">
        <w:t>Services</w:t>
      </w:r>
      <w:r w:rsidRPr="00B763DD">
        <w:t xml:space="preserve"> </w:t>
      </w:r>
      <w:r w:rsidRPr="0076153C">
        <w:t>wh</w:t>
      </w:r>
      <w:r w:rsidRPr="00B763DD">
        <w:t>i</w:t>
      </w:r>
      <w:r w:rsidRPr="0076153C">
        <w:t>ch</w:t>
      </w:r>
      <w:r w:rsidRPr="00B763DD">
        <w:t xml:space="preserve"> m</w:t>
      </w:r>
      <w:r w:rsidRPr="0076153C">
        <w:t>ay</w:t>
      </w:r>
      <w:r w:rsidRPr="00B763DD">
        <w:t xml:space="preserve"> </w:t>
      </w:r>
      <w:r w:rsidRPr="0076153C">
        <w:t>be</w:t>
      </w:r>
      <w:r w:rsidRPr="00B763DD">
        <w:t xml:space="preserve"> </w:t>
      </w:r>
      <w:r w:rsidRPr="002E2A00">
        <w:t>provided</w:t>
      </w:r>
      <w:r w:rsidRPr="00B763DD">
        <w:t xml:space="preserve"> </w:t>
      </w:r>
      <w:r w:rsidRPr="0076153C">
        <w:t>by</w:t>
      </w:r>
      <w:r w:rsidRPr="00B763DD">
        <w:t xml:space="preserve"> </w:t>
      </w:r>
      <w:r>
        <w:t xml:space="preserve">TCSPs </w:t>
      </w:r>
      <w:r w:rsidRPr="0076153C">
        <w:t>and</w:t>
      </w:r>
      <w:r w:rsidRPr="00B763DD">
        <w:t xml:space="preserve"> </w:t>
      </w:r>
      <w:r w:rsidRPr="0076153C">
        <w:t>which</w:t>
      </w:r>
      <w:r w:rsidRPr="00B763DD">
        <w:t xml:space="preserve"> </w:t>
      </w:r>
      <w:r w:rsidRPr="0076153C">
        <w:t>(in</w:t>
      </w:r>
      <w:r w:rsidRPr="00B763DD">
        <w:t xml:space="preserve"> </w:t>
      </w:r>
      <w:r w:rsidRPr="0076153C">
        <w:t>some</w:t>
      </w:r>
      <w:r w:rsidRPr="00B763DD">
        <w:t xml:space="preserve"> </w:t>
      </w:r>
      <w:r w:rsidRPr="00440B41">
        <w:t>circumstances</w:t>
      </w:r>
      <w:r w:rsidRPr="0076153C">
        <w:t>) risk</w:t>
      </w:r>
      <w:r w:rsidRPr="00B763DD">
        <w:t xml:space="preserve"> b</w:t>
      </w:r>
      <w:r w:rsidRPr="0076153C">
        <w:t>eing used</w:t>
      </w:r>
      <w:r w:rsidRPr="00B763DD">
        <w:t xml:space="preserve"> </w:t>
      </w:r>
      <w:r w:rsidRPr="0076153C">
        <w:t>to</w:t>
      </w:r>
      <w:r w:rsidRPr="00B763DD">
        <w:t xml:space="preserve"> </w:t>
      </w:r>
      <w:r w:rsidRPr="0076153C">
        <w:t>assist</w:t>
      </w:r>
      <w:r w:rsidRPr="00B763DD">
        <w:t xml:space="preserve"> m</w:t>
      </w:r>
      <w:r w:rsidRPr="0076153C">
        <w:t>oney</w:t>
      </w:r>
      <w:r w:rsidRPr="00B763DD">
        <w:t xml:space="preserve"> </w:t>
      </w:r>
      <w:r w:rsidRPr="0076153C">
        <w:t>launderers</w:t>
      </w:r>
      <w:r w:rsidRPr="00B763DD">
        <w:t xml:space="preserve"> </w:t>
      </w:r>
      <w:r w:rsidRPr="0076153C">
        <w:t>may</w:t>
      </w:r>
      <w:r w:rsidRPr="00B763DD">
        <w:t xml:space="preserve"> </w:t>
      </w:r>
      <w:r w:rsidRPr="0076153C">
        <w:t>in</w:t>
      </w:r>
      <w:r w:rsidRPr="00B763DD">
        <w:t>c</w:t>
      </w:r>
      <w:r w:rsidRPr="0076153C">
        <w:t>lude:</w:t>
      </w:r>
    </w:p>
    <w:p w14:paraId="5CD2467C" w14:textId="656CDCCE" w:rsidR="0098261F" w:rsidRPr="00B763DD" w:rsidRDefault="000B731A" w:rsidP="00533ED1">
      <w:pPr>
        <w:pStyle w:val="BulletedList"/>
        <w:numPr>
          <w:ilvl w:val="0"/>
          <w:numId w:val="141"/>
        </w:numPr>
      </w:pPr>
      <w:r>
        <w:t>Unexplained (where explanation is warranted)</w:t>
      </w:r>
      <w:r w:rsidR="00D950D7">
        <w:t xml:space="preserve"> </w:t>
      </w:r>
      <w:r>
        <w:t>use of pooled client accounts or safe custody of client money or assets</w:t>
      </w:r>
      <w:r w:rsidR="006210EB">
        <w:t xml:space="preserve"> or bearer shares, where allowed</w:t>
      </w:r>
      <w:r w:rsidR="006210EB" w:rsidRPr="00960A6A">
        <w:t>.</w:t>
      </w:r>
    </w:p>
    <w:p w14:paraId="2CEAB028" w14:textId="767E9E13" w:rsidR="00B83B6C" w:rsidRPr="00B763DD" w:rsidRDefault="00B83B6C" w:rsidP="00533ED1">
      <w:pPr>
        <w:pStyle w:val="BulletedList"/>
        <w:numPr>
          <w:ilvl w:val="0"/>
          <w:numId w:val="141"/>
        </w:numPr>
      </w:pPr>
      <w:r>
        <w:t>Situations where a</w:t>
      </w:r>
      <w:r w:rsidR="0098261F" w:rsidRPr="00B763DD">
        <w:t xml:space="preserve">dvice on the setting up of legal </w:t>
      </w:r>
      <w:r w:rsidR="0098261F">
        <w:t xml:space="preserve">persons or legal </w:t>
      </w:r>
      <w:r w:rsidR="0098261F" w:rsidRPr="00B763DD">
        <w:t xml:space="preserve">arrangements may be </w:t>
      </w:r>
      <w:r w:rsidR="00310918">
        <w:t>mis</w:t>
      </w:r>
      <w:r w:rsidR="0098261F" w:rsidRPr="00B763DD">
        <w:t xml:space="preserve">used to obscure ownership or real economic purpose </w:t>
      </w:r>
      <w:r w:rsidR="00EA560A" w:rsidRPr="00B763DD">
        <w:t xml:space="preserve">(including setting up of trusts, companies </w:t>
      </w:r>
      <w:r w:rsidR="00EA560A">
        <w:t xml:space="preserve">or other legal entities, </w:t>
      </w:r>
      <w:r w:rsidR="00EA560A" w:rsidRPr="00B763DD">
        <w:t>or change of name/corporate seat</w:t>
      </w:r>
      <w:r w:rsidR="00EA560A">
        <w:t xml:space="preserve"> </w:t>
      </w:r>
      <w:r w:rsidR="00EA560A" w:rsidRPr="00B763DD">
        <w:t xml:space="preserve">or </w:t>
      </w:r>
      <w:r w:rsidR="00EA560A">
        <w:t xml:space="preserve">on establishing </w:t>
      </w:r>
      <w:r w:rsidR="00EA560A" w:rsidRPr="00B763DD">
        <w:t xml:space="preserve"> complex group structures</w:t>
      </w:r>
      <w:r w:rsidR="00EA560A">
        <w:t>)</w:t>
      </w:r>
      <w:r w:rsidR="0098261F" w:rsidRPr="00B763DD">
        <w:t>.</w:t>
      </w:r>
      <w:r w:rsidR="007D1849">
        <w:t xml:space="preserve">  This might include advising in relation to a discretionary trust that gives the trustee discretionary power </w:t>
      </w:r>
      <w:r w:rsidR="00DA2BD6" w:rsidRPr="004E755A">
        <w:t xml:space="preserve">to name a class of beneficiaries </w:t>
      </w:r>
      <w:r w:rsidR="00346207">
        <w:t xml:space="preserve">that does not include the real beneficiary (e.g. naming a charity as the sole discretionary beneficiary initially with a view to adding the real beneficiaries at a later stage). It might also include situations where </w:t>
      </w:r>
      <w:r w:rsidR="00DA2BD6" w:rsidRPr="004E755A">
        <w:t xml:space="preserve">a trust is set up for the purpose of managing shares in a company </w:t>
      </w:r>
      <w:r w:rsidR="00DA2BD6">
        <w:t xml:space="preserve">with the intention of making </w:t>
      </w:r>
      <w:r w:rsidR="00DA2BD6" w:rsidRPr="004E755A">
        <w:t>it more difficult to determine the beneficiaries of assets managed by the trust</w:t>
      </w:r>
      <w:r w:rsidR="007D1849">
        <w:t xml:space="preserve">. </w:t>
      </w:r>
    </w:p>
    <w:p w14:paraId="1E1F6EC4" w14:textId="597D821E" w:rsidR="008270D7" w:rsidRDefault="008270D7" w:rsidP="00533ED1">
      <w:pPr>
        <w:pStyle w:val="BulletedList"/>
        <w:numPr>
          <w:ilvl w:val="0"/>
          <w:numId w:val="141"/>
        </w:numPr>
      </w:pPr>
      <w:r>
        <w:t>Acting or providing trustees or directors of a trust, company or other legal entity.</w:t>
      </w:r>
    </w:p>
    <w:p w14:paraId="0916DF3D" w14:textId="0E571635" w:rsidR="000F3434" w:rsidRDefault="000F3434" w:rsidP="00533ED1">
      <w:pPr>
        <w:pStyle w:val="BulletedList"/>
        <w:numPr>
          <w:ilvl w:val="0"/>
          <w:numId w:val="141"/>
        </w:numPr>
      </w:pPr>
      <w:r>
        <w:t xml:space="preserve">Services where </w:t>
      </w:r>
      <w:r w:rsidR="00EA4C9A">
        <w:t>TCSPs</w:t>
      </w:r>
      <w:r>
        <w:t xml:space="preserve"> may in practice represent or assure the client’s standing, reputation and credibility to third parties, without a commensurate knowledge of the client’s affairs.</w:t>
      </w:r>
      <w:r w:rsidR="00BC59D4">
        <w:t xml:space="preserve"> </w:t>
      </w:r>
    </w:p>
    <w:p w14:paraId="4D7EDC0F" w14:textId="2387C523" w:rsidR="000F3434" w:rsidRDefault="000F3434" w:rsidP="00533ED1">
      <w:pPr>
        <w:pStyle w:val="BulletedList"/>
        <w:numPr>
          <w:ilvl w:val="0"/>
          <w:numId w:val="141"/>
        </w:numPr>
      </w:pPr>
      <w:r>
        <w:lastRenderedPageBreak/>
        <w:t>Services that improperly conceal beneficial ownership from competent authorities, or that have the effect of improperly concealing beneficial ownership without any clear legitimate purpose.</w:t>
      </w:r>
      <w:r w:rsidR="00BC59D4">
        <w:t xml:space="preserve"> </w:t>
      </w:r>
    </w:p>
    <w:p w14:paraId="41DBDB2B" w14:textId="36397EFE" w:rsidR="000F3434" w:rsidRDefault="000F3434" w:rsidP="00533ED1">
      <w:pPr>
        <w:pStyle w:val="BulletedList"/>
        <w:numPr>
          <w:ilvl w:val="0"/>
          <w:numId w:val="141"/>
        </w:numPr>
      </w:pPr>
      <w:r>
        <w:t xml:space="preserve">Services that deliberately have provided or depend upon more anonymity in the client identity or participants than is normal under the circumstances and experience of the </w:t>
      </w:r>
      <w:r w:rsidR="00C72172">
        <w:t>T</w:t>
      </w:r>
      <w:r w:rsidR="008270D7">
        <w:t>CS</w:t>
      </w:r>
      <w:r w:rsidR="00C72172">
        <w:t>P</w:t>
      </w:r>
      <w:r>
        <w:t>.</w:t>
      </w:r>
      <w:r w:rsidR="00BC59D4">
        <w:t xml:space="preserve"> </w:t>
      </w:r>
    </w:p>
    <w:p w14:paraId="3C11B5B3" w14:textId="7ED35EC8" w:rsidR="000F3434" w:rsidRDefault="000F3434" w:rsidP="00533ED1">
      <w:pPr>
        <w:pStyle w:val="BulletedList"/>
        <w:numPr>
          <w:ilvl w:val="0"/>
          <w:numId w:val="141"/>
        </w:numPr>
      </w:pPr>
      <w:r>
        <w:t xml:space="preserve">Use of virtual </w:t>
      </w:r>
      <w:r w:rsidR="004C187A">
        <w:t>assets</w:t>
      </w:r>
      <w:r>
        <w:t xml:space="preserve"> and other anonymous means of payment and wealth transfer within the transaction</w:t>
      </w:r>
      <w:r w:rsidR="003263BB">
        <w:t xml:space="preserve"> without apparent legal, tax, business, economic or other legitimate reason</w:t>
      </w:r>
      <w:r>
        <w:t>.</w:t>
      </w:r>
      <w:r w:rsidR="00BC59D4">
        <w:t xml:space="preserve"> </w:t>
      </w:r>
    </w:p>
    <w:p w14:paraId="0E746F25" w14:textId="198F8A96" w:rsidR="000F3434" w:rsidRDefault="000F3434" w:rsidP="00533ED1">
      <w:pPr>
        <w:pStyle w:val="BulletedList"/>
        <w:numPr>
          <w:ilvl w:val="0"/>
          <w:numId w:val="141"/>
        </w:numPr>
      </w:pPr>
      <w:r>
        <w:t>Transactions using unusual means of payment (e.g. precious metals or stones).</w:t>
      </w:r>
      <w:r w:rsidR="00BC59D4">
        <w:t xml:space="preserve"> </w:t>
      </w:r>
    </w:p>
    <w:p w14:paraId="42542462" w14:textId="0486A8D7" w:rsidR="000F3434" w:rsidRDefault="000F3434" w:rsidP="00533ED1">
      <w:pPr>
        <w:pStyle w:val="BulletedList"/>
        <w:numPr>
          <w:ilvl w:val="0"/>
          <w:numId w:val="141"/>
        </w:numPr>
      </w:pPr>
      <w:r>
        <w:t>The postponement of a payment for an asset or service delivered immediately to a date far from the moment at which payment would normally be expected to occur, without appropriate assurances that payment will be made.</w:t>
      </w:r>
      <w:r w:rsidR="00BC59D4">
        <w:t xml:space="preserve"> </w:t>
      </w:r>
    </w:p>
    <w:p w14:paraId="3104A037" w14:textId="2F5D2590" w:rsidR="000F3434" w:rsidRDefault="000F3434" w:rsidP="00533ED1">
      <w:pPr>
        <w:pStyle w:val="BulletedList"/>
        <w:numPr>
          <w:ilvl w:val="0"/>
          <w:numId w:val="141"/>
        </w:numPr>
      </w:pPr>
      <w:r>
        <w:t>Successive capital or other contributions in a short period of time to the same company with no apparent legal, tax, business, economic or other legitimate reason.</w:t>
      </w:r>
      <w:r w:rsidR="00BC59D4">
        <w:t xml:space="preserve"> </w:t>
      </w:r>
    </w:p>
    <w:p w14:paraId="198324F1" w14:textId="2AA2E6B4" w:rsidR="000F3434" w:rsidRDefault="000F3434" w:rsidP="00533ED1">
      <w:pPr>
        <w:pStyle w:val="BulletedList"/>
        <w:numPr>
          <w:ilvl w:val="0"/>
          <w:numId w:val="141"/>
        </w:numPr>
      </w:pPr>
      <w:r>
        <w:t>Acquisitions of businesses in liquidation with no apparent legal, tax, business, economic or other legitimate reason.</w:t>
      </w:r>
      <w:r w:rsidR="00BC59D4">
        <w:t xml:space="preserve"> </w:t>
      </w:r>
    </w:p>
    <w:p w14:paraId="572CE58D" w14:textId="2222EAED" w:rsidR="000F3434" w:rsidRDefault="000F3434" w:rsidP="00533ED1">
      <w:pPr>
        <w:pStyle w:val="BulletedList"/>
        <w:numPr>
          <w:ilvl w:val="0"/>
          <w:numId w:val="141"/>
        </w:numPr>
      </w:pPr>
      <w:r>
        <w:t>Power of Representation given in unusual conditions (e.g. when it is granted irrevocably or in relation to specific assets) and the stated reasons for these conditions are unclear or illogical.</w:t>
      </w:r>
      <w:r w:rsidR="00A96AED">
        <w:t xml:space="preserve"> </w:t>
      </w:r>
    </w:p>
    <w:p w14:paraId="706F2E4F" w14:textId="3FFE097B" w:rsidR="000F3434" w:rsidRDefault="000F3434" w:rsidP="00533ED1">
      <w:pPr>
        <w:pStyle w:val="BulletedList"/>
        <w:numPr>
          <w:ilvl w:val="0"/>
          <w:numId w:val="141"/>
        </w:numPr>
      </w:pPr>
      <w:r>
        <w:t>Transactions involving closely connected persons and for which the client and/or its financial advisors provide inconsistent or irrational explanations and are subsequently unwilling or una</w:t>
      </w:r>
      <w:r w:rsidR="00E528B9">
        <w:t xml:space="preserve">ble to explain by reference to </w:t>
      </w:r>
      <w:r>
        <w:t>legal, tax, business, economic or other legitimate reason.</w:t>
      </w:r>
      <w:r w:rsidR="00BC59D4">
        <w:t xml:space="preserve"> </w:t>
      </w:r>
    </w:p>
    <w:p w14:paraId="74506F9A" w14:textId="278A7168" w:rsidR="000F3434" w:rsidRDefault="000F3434" w:rsidP="00533ED1">
      <w:pPr>
        <w:pStyle w:val="BulletedList"/>
        <w:numPr>
          <w:ilvl w:val="0"/>
          <w:numId w:val="141"/>
        </w:numPr>
      </w:pPr>
      <w:r>
        <w:t>In the case of an express trust, an unexplained (where explanation is warranted) nature of classes of beneficiaries and classes within an expression of wishes.</w:t>
      </w:r>
      <w:r w:rsidR="00BC59D4">
        <w:t xml:space="preserve"> </w:t>
      </w:r>
    </w:p>
    <w:p w14:paraId="40881999" w14:textId="3D07F621" w:rsidR="008270D7" w:rsidRDefault="008270D7" w:rsidP="00533ED1">
      <w:pPr>
        <w:pStyle w:val="BulletedList"/>
        <w:numPr>
          <w:ilvl w:val="0"/>
          <w:numId w:val="141"/>
        </w:numPr>
      </w:pPr>
      <w:r>
        <w:t xml:space="preserve">Situations where a nominee is being used (e.g. friend or family member is named as owner of property/assets where it is clear that the family member/friend is receiving instructions from the </w:t>
      </w:r>
      <w:r w:rsidR="00E30E52">
        <w:rPr>
          <w:rFonts w:eastAsia="PMingLiU" w:hint="eastAsia"/>
          <w:lang w:eastAsia="zh-HK"/>
        </w:rPr>
        <w:t>beneficial</w:t>
      </w:r>
      <w:r w:rsidR="00E30E52" w:rsidDel="00E30E52">
        <w:t xml:space="preserve"> </w:t>
      </w:r>
      <w:r>
        <w:t>owner)</w:t>
      </w:r>
      <w:r w:rsidR="00231D53">
        <w:t xml:space="preserve">, </w:t>
      </w:r>
      <w:r w:rsidR="00231D53" w:rsidRPr="00231D53">
        <w:t>with no apparent legal, tax, business, economic or other legitimate reason</w:t>
      </w:r>
      <w:r>
        <w:t xml:space="preserve">. </w:t>
      </w:r>
    </w:p>
    <w:p w14:paraId="73D35DE5" w14:textId="540E8FE5" w:rsidR="00343BD7" w:rsidRDefault="00343BD7" w:rsidP="00533ED1">
      <w:pPr>
        <w:pStyle w:val="BulletedList"/>
        <w:numPr>
          <w:ilvl w:val="0"/>
          <w:numId w:val="141"/>
        </w:numPr>
      </w:pPr>
      <w:r>
        <w:t>Commercial, private, or real property transactions or services to be carried out by the trust, company or other legal entity with no apparent legitimate business, economic, tax, family governance, or legal reasons.</w:t>
      </w:r>
    </w:p>
    <w:p w14:paraId="4DB31C28" w14:textId="757A2867" w:rsidR="00CF52DF" w:rsidRDefault="00CF52DF" w:rsidP="00533ED1">
      <w:pPr>
        <w:pStyle w:val="BulletedList"/>
        <w:numPr>
          <w:ilvl w:val="0"/>
          <w:numId w:val="141"/>
        </w:numPr>
      </w:pPr>
      <w:r>
        <w:t>Products/services that inherently have provided more anonymity or confidentiality without a legitimate purpose.</w:t>
      </w:r>
    </w:p>
    <w:p w14:paraId="2A903FA9" w14:textId="32F6902D" w:rsidR="00F906C3" w:rsidRDefault="00C411D9" w:rsidP="00533ED1">
      <w:pPr>
        <w:pStyle w:val="BulletedList"/>
        <w:numPr>
          <w:ilvl w:val="0"/>
          <w:numId w:val="141"/>
        </w:numPr>
        <w:rPr>
          <w:rFonts w:eastAsia="Times New Roman"/>
        </w:rPr>
      </w:pPr>
      <w:r>
        <w:t xml:space="preserve">Existence of suspicion of </w:t>
      </w:r>
      <w:r w:rsidR="00F906C3" w:rsidRPr="0076153C">
        <w:rPr>
          <w:rFonts w:eastAsia="Times New Roman"/>
        </w:rPr>
        <w:t>fraudulent</w:t>
      </w:r>
      <w:r w:rsidR="00F906C3" w:rsidRPr="0076153C">
        <w:rPr>
          <w:rFonts w:eastAsia="Times New Roman"/>
          <w:spacing w:val="-4"/>
        </w:rPr>
        <w:t xml:space="preserve"> </w:t>
      </w:r>
      <w:r w:rsidR="00F906C3" w:rsidRPr="0076153C">
        <w:rPr>
          <w:rFonts w:eastAsia="Times New Roman"/>
        </w:rPr>
        <w:t>transactions,</w:t>
      </w:r>
      <w:r w:rsidR="00F906C3" w:rsidRPr="0076153C">
        <w:rPr>
          <w:rFonts w:eastAsia="Times New Roman"/>
          <w:spacing w:val="-3"/>
        </w:rPr>
        <w:t xml:space="preserve"> </w:t>
      </w:r>
      <w:r w:rsidR="00F906C3" w:rsidRPr="0076153C">
        <w:rPr>
          <w:rFonts w:eastAsia="Times New Roman"/>
        </w:rPr>
        <w:t>or</w:t>
      </w:r>
      <w:r w:rsidR="00F906C3" w:rsidRPr="0076153C">
        <w:rPr>
          <w:rFonts w:eastAsia="Times New Roman"/>
          <w:spacing w:val="6"/>
        </w:rPr>
        <w:t xml:space="preserve"> </w:t>
      </w:r>
      <w:r w:rsidR="00F906C3" w:rsidRPr="0076153C">
        <w:rPr>
          <w:rFonts w:eastAsia="Times New Roman"/>
        </w:rPr>
        <w:t>ones</w:t>
      </w:r>
      <w:r w:rsidR="00F906C3" w:rsidRPr="0076153C">
        <w:rPr>
          <w:rFonts w:eastAsia="Times New Roman"/>
          <w:spacing w:val="4"/>
        </w:rPr>
        <w:t xml:space="preserve"> </w:t>
      </w:r>
      <w:r w:rsidR="00F906C3" w:rsidRPr="0076153C">
        <w:rPr>
          <w:rFonts w:eastAsia="Times New Roman"/>
        </w:rPr>
        <w:t>whi</w:t>
      </w:r>
      <w:r w:rsidR="00F906C3" w:rsidRPr="0076153C">
        <w:rPr>
          <w:rFonts w:eastAsia="Times New Roman"/>
          <w:spacing w:val="-2"/>
        </w:rPr>
        <w:t>c</w:t>
      </w:r>
      <w:r w:rsidR="00F906C3" w:rsidRPr="0076153C">
        <w:rPr>
          <w:rFonts w:eastAsia="Times New Roman"/>
        </w:rPr>
        <w:t>h</w:t>
      </w:r>
      <w:r w:rsidR="00F906C3" w:rsidRPr="0076153C">
        <w:rPr>
          <w:rFonts w:eastAsia="Times New Roman"/>
          <w:spacing w:val="3"/>
        </w:rPr>
        <w:t xml:space="preserve"> </w:t>
      </w:r>
      <w:r w:rsidR="00F906C3" w:rsidRPr="0076153C">
        <w:rPr>
          <w:rFonts w:eastAsia="Times New Roman"/>
        </w:rPr>
        <w:t>are</w:t>
      </w:r>
      <w:r w:rsidR="00F906C3" w:rsidRPr="0076153C">
        <w:rPr>
          <w:rFonts w:eastAsia="Times New Roman"/>
          <w:spacing w:val="5"/>
        </w:rPr>
        <w:t xml:space="preserve"> </w:t>
      </w:r>
      <w:r w:rsidR="00F906C3" w:rsidRPr="00440B41">
        <w:t>i</w:t>
      </w:r>
      <w:r w:rsidR="00F906C3" w:rsidRPr="00440B41">
        <w:rPr>
          <w:spacing w:val="-2"/>
        </w:rPr>
        <w:t>m</w:t>
      </w:r>
      <w:r w:rsidR="00F906C3" w:rsidRPr="00440B41">
        <w:t>properly</w:t>
      </w:r>
      <w:r w:rsidR="00F906C3" w:rsidRPr="0076153C">
        <w:rPr>
          <w:rFonts w:eastAsia="Times New Roman"/>
          <w:spacing w:val="-1"/>
        </w:rPr>
        <w:t xml:space="preserve"> </w:t>
      </w:r>
      <w:r w:rsidR="00F906C3" w:rsidRPr="0076153C">
        <w:rPr>
          <w:rFonts w:eastAsia="Times New Roman"/>
        </w:rPr>
        <w:t>account</w:t>
      </w:r>
      <w:r w:rsidR="00F906C3" w:rsidRPr="0076153C">
        <w:rPr>
          <w:rFonts w:eastAsia="Times New Roman"/>
          <w:spacing w:val="-2"/>
        </w:rPr>
        <w:t>e</w:t>
      </w:r>
      <w:r w:rsidR="00F906C3" w:rsidRPr="0076153C">
        <w:rPr>
          <w:rFonts w:eastAsia="Times New Roman"/>
        </w:rPr>
        <w:t>d</w:t>
      </w:r>
      <w:r w:rsidR="00F906C3" w:rsidRPr="0076153C">
        <w:rPr>
          <w:rFonts w:eastAsia="Times New Roman"/>
          <w:spacing w:val="-1"/>
        </w:rPr>
        <w:t xml:space="preserve"> </w:t>
      </w:r>
      <w:r w:rsidR="00F906C3" w:rsidRPr="0076153C">
        <w:rPr>
          <w:rFonts w:eastAsia="Times New Roman"/>
        </w:rPr>
        <w:t>for.</w:t>
      </w:r>
      <w:r w:rsidR="00F906C3" w:rsidRPr="0076153C">
        <w:rPr>
          <w:rFonts w:eastAsia="Times New Roman"/>
          <w:spacing w:val="-5"/>
        </w:rPr>
        <w:t xml:space="preserve"> </w:t>
      </w:r>
      <w:r w:rsidR="00F906C3" w:rsidRPr="0076153C">
        <w:rPr>
          <w:rFonts w:eastAsia="Times New Roman"/>
        </w:rPr>
        <w:t>These</w:t>
      </w:r>
      <w:r w:rsidR="00F906C3" w:rsidRPr="0076153C">
        <w:rPr>
          <w:rFonts w:eastAsia="Times New Roman"/>
          <w:spacing w:val="-3"/>
        </w:rPr>
        <w:t xml:space="preserve"> </w:t>
      </w:r>
      <w:r w:rsidR="00F906C3" w:rsidRPr="0076153C">
        <w:rPr>
          <w:rFonts w:eastAsia="Times New Roman"/>
          <w:spacing w:val="-2"/>
        </w:rPr>
        <w:t>m</w:t>
      </w:r>
      <w:r w:rsidR="00F906C3" w:rsidRPr="0076153C">
        <w:rPr>
          <w:rFonts w:eastAsia="Times New Roman"/>
        </w:rPr>
        <w:t>ight</w:t>
      </w:r>
      <w:r w:rsidR="00F906C3" w:rsidRPr="0076153C">
        <w:rPr>
          <w:rFonts w:eastAsia="Times New Roman"/>
          <w:spacing w:val="-5"/>
        </w:rPr>
        <w:t xml:space="preserve"> </w:t>
      </w:r>
      <w:r w:rsidR="00F906C3" w:rsidRPr="0076153C">
        <w:rPr>
          <w:rFonts w:eastAsia="Times New Roman"/>
        </w:rPr>
        <w:t>include:</w:t>
      </w:r>
    </w:p>
    <w:p w14:paraId="34D368D1" w14:textId="77777777" w:rsidR="00C411D9" w:rsidRPr="00F0432D" w:rsidRDefault="00C411D9" w:rsidP="00533ED1">
      <w:pPr>
        <w:pStyle w:val="BulletedList"/>
        <w:numPr>
          <w:ilvl w:val="2"/>
          <w:numId w:val="142"/>
        </w:numPr>
      </w:pPr>
      <w:r w:rsidRPr="00F0432D">
        <w:t>Over and under invoicing of goods/services.</w:t>
      </w:r>
    </w:p>
    <w:p w14:paraId="2D68F3B1" w14:textId="77777777" w:rsidR="00C411D9" w:rsidRPr="00F0432D" w:rsidRDefault="00C411D9" w:rsidP="00533ED1">
      <w:pPr>
        <w:pStyle w:val="BulletedList"/>
        <w:numPr>
          <w:ilvl w:val="2"/>
          <w:numId w:val="142"/>
        </w:numPr>
      </w:pPr>
      <w:r w:rsidRPr="00F0432D">
        <w:t>Multiple invoicing of the same goods/services.</w:t>
      </w:r>
    </w:p>
    <w:p w14:paraId="2E599801" w14:textId="77777777" w:rsidR="00C411D9" w:rsidRPr="00F0432D" w:rsidRDefault="00C411D9" w:rsidP="00533ED1">
      <w:pPr>
        <w:pStyle w:val="BulletedList"/>
        <w:numPr>
          <w:ilvl w:val="2"/>
          <w:numId w:val="142"/>
        </w:numPr>
      </w:pPr>
      <w:r w:rsidRPr="00F0432D">
        <w:t>Falsely des</w:t>
      </w:r>
      <w:r>
        <w:t>cribed goods/services – o</w:t>
      </w:r>
      <w:r w:rsidRPr="00F0432D">
        <w:t>ver and under shipments (e.g. false entries on bills of lading).</w:t>
      </w:r>
    </w:p>
    <w:p w14:paraId="3E293BE0" w14:textId="77777777" w:rsidR="00C411D9" w:rsidRDefault="00C411D9" w:rsidP="00533ED1">
      <w:pPr>
        <w:pStyle w:val="BulletedList"/>
        <w:numPr>
          <w:ilvl w:val="2"/>
          <w:numId w:val="142"/>
        </w:numPr>
      </w:pPr>
      <w:r w:rsidRPr="00F0432D">
        <w:t>Multiple trading of goods/services.</w:t>
      </w:r>
    </w:p>
    <w:p w14:paraId="7AE6EF7D" w14:textId="534D2406" w:rsidR="00F906C3" w:rsidRDefault="00F906C3" w:rsidP="00533ED1">
      <w:pPr>
        <w:pStyle w:val="BulletedList"/>
        <w:numPr>
          <w:ilvl w:val="0"/>
          <w:numId w:val="141"/>
        </w:numPr>
      </w:pPr>
      <w:r>
        <w:lastRenderedPageBreak/>
        <w:t>Any attempt by the settlor, trustee, company or other legal entity to enter into any fraudulent transaction</w:t>
      </w:r>
      <w:r w:rsidRPr="00B763DD">
        <w:t>.</w:t>
      </w:r>
    </w:p>
    <w:p w14:paraId="087E77FD" w14:textId="77777777" w:rsidR="00F906C3" w:rsidRPr="00CF52DF" w:rsidRDefault="00F906C3" w:rsidP="00533ED1">
      <w:pPr>
        <w:pStyle w:val="BulletedList"/>
        <w:numPr>
          <w:ilvl w:val="0"/>
          <w:numId w:val="141"/>
        </w:numPr>
      </w:pPr>
      <w:r>
        <w:t>Any attempt by the settlor, trustee, company or other legal entity to enter into any arrangement to fraudulently evade tax in any relevant jurisdiction</w:t>
      </w:r>
      <w:r w:rsidRPr="00B763DD">
        <w:t>.</w:t>
      </w:r>
    </w:p>
    <w:p w14:paraId="47922769" w14:textId="2B0339AC" w:rsidR="0098261F" w:rsidRPr="0076153C" w:rsidRDefault="0098261F" w:rsidP="002E2A00">
      <w:pPr>
        <w:pStyle w:val="Heading3"/>
      </w:pPr>
      <w:bookmarkStart w:id="218" w:name="_Toc530407844"/>
      <w:bookmarkStart w:id="219" w:name="_Toc530408033"/>
      <w:bookmarkStart w:id="220" w:name="_Toc1994932"/>
      <w:bookmarkEnd w:id="218"/>
      <w:bookmarkEnd w:id="219"/>
      <w:r w:rsidRPr="0076153C">
        <w:t>Variables</w:t>
      </w:r>
      <w:r w:rsidRPr="0076153C">
        <w:rPr>
          <w:spacing w:val="-9"/>
        </w:rPr>
        <w:t xml:space="preserve"> </w:t>
      </w:r>
      <w:r w:rsidRPr="0076153C">
        <w:t>that</w:t>
      </w:r>
      <w:r w:rsidRPr="0076153C">
        <w:rPr>
          <w:spacing w:val="-3"/>
        </w:rPr>
        <w:t xml:space="preserve"> </w:t>
      </w:r>
      <w:r w:rsidRPr="002E2A00">
        <w:t>may</w:t>
      </w:r>
      <w:r w:rsidRPr="0076153C">
        <w:rPr>
          <w:spacing w:val="-4"/>
        </w:rPr>
        <w:t xml:space="preserve"> </w:t>
      </w:r>
      <w:r>
        <w:rPr>
          <w:spacing w:val="-4"/>
        </w:rPr>
        <w:t>i</w:t>
      </w:r>
      <w:r w:rsidRPr="0076153C">
        <w:t>mpact</w:t>
      </w:r>
      <w:r w:rsidRPr="0076153C">
        <w:rPr>
          <w:spacing w:val="-6"/>
        </w:rPr>
        <w:t xml:space="preserve"> </w:t>
      </w:r>
      <w:r w:rsidRPr="0076153C">
        <w:t>on</w:t>
      </w:r>
      <w:r w:rsidRPr="0076153C">
        <w:rPr>
          <w:spacing w:val="-2"/>
        </w:rPr>
        <w:t xml:space="preserve"> </w:t>
      </w:r>
      <w:r>
        <w:rPr>
          <w:spacing w:val="-2"/>
        </w:rPr>
        <w:t>r</w:t>
      </w:r>
      <w:r w:rsidRPr="0076153C">
        <w:t>isk</w:t>
      </w:r>
      <w:bookmarkEnd w:id="220"/>
    </w:p>
    <w:p w14:paraId="5D11C61B" w14:textId="77777777" w:rsidR="00834199" w:rsidRPr="002E2A00" w:rsidRDefault="00834199" w:rsidP="002E2A00">
      <w:pPr>
        <w:pStyle w:val="Para"/>
      </w:pPr>
      <w:r>
        <w:t xml:space="preserve">Due regard must be accorded to the vast and profound differences in the obligations, </w:t>
      </w:r>
      <w:r w:rsidRPr="002E2A00">
        <w:t>practices, size, scale and expertise, amongst TCSPs, as well as the nature of the clients they serve. As a result, consideration must be given to these factors when creating a RBA that also complies with the existing obligations of TCSPs.</w:t>
      </w:r>
    </w:p>
    <w:p w14:paraId="4D06DCB4" w14:textId="43A76F8D" w:rsidR="00834199" w:rsidRPr="002E2A00" w:rsidRDefault="00834199" w:rsidP="002E2A00">
      <w:pPr>
        <w:pStyle w:val="Para"/>
      </w:pPr>
      <w:r w:rsidRPr="002E2A00">
        <w:t xml:space="preserve">Consideration must also be given to the resources that can be reasonably allocated to implement and manage an appropriately developed RBA. For example, a sole practitioner would not be expected to devote an equivalent level of resources as a large firm; rather, the sole practitioner would be expected to develop appropriate systems and controls and a RBA proportionate to the scope and nature of the practitioner’s practice and its clients. Small firms serving predominantly locally based clients cannot generally be expected to devote a significant amount of senior personnel’s time to conducting risk assessments other than on those clients with the highest risk profiles. It may be more reasonable for sole practitioners to rely on publicly available records and information supplied by a client for a risk assessment than it would be for a large firm. However, </w:t>
      </w:r>
      <w:r w:rsidR="00D50A83" w:rsidRPr="002E2A00">
        <w:t>TCSPs</w:t>
      </w:r>
      <w:r w:rsidRPr="002E2A00">
        <w:t xml:space="preserve"> in many jurisdictions and practices are required to conduct both a risk assessment of the general risks of their practice, and of all new clients and current clients engaged in one-off specific transactions. The emphasis must be on following a RBA.</w:t>
      </w:r>
    </w:p>
    <w:p w14:paraId="1AC6B9C3" w14:textId="51BBDD49" w:rsidR="00834199" w:rsidRPr="002E2A00" w:rsidRDefault="00834199" w:rsidP="002E2A00">
      <w:pPr>
        <w:pStyle w:val="Para"/>
      </w:pPr>
      <w:r w:rsidRPr="002E2A00">
        <w:t xml:space="preserve">A significant factor to consider is whether the client and proposed work would be unusual, risky or suspicious for the particular TCSP. This factor must always be considered in the context of the practice of TCSP. The RBA methodology of TCSP may thus take into account risk variables specific to a particular client or type of work. Consistent with the RBA and proportionality, the presence of one or more of these variables may cause a TCSP to conclude that either enhanced CDD and monitoring is warranted, or conversely that standard CDD and monitoring can be reduced, modified or simplified. </w:t>
      </w:r>
      <w:r w:rsidR="007E6AD5" w:rsidRPr="002E2A00">
        <w:t xml:space="preserve">When reducing, modifying or simplifying, TCSPs should always adhere to the minimum requirements as set out in national legislation </w:t>
      </w:r>
      <w:r w:rsidRPr="002E2A00">
        <w:t xml:space="preserve">These variables may increase or decrease the perceived risk posed by a particular client or type of work and may include: </w:t>
      </w:r>
    </w:p>
    <w:p w14:paraId="62F983D5" w14:textId="77777777" w:rsidR="0098261F" w:rsidRPr="0076153C" w:rsidRDefault="0098261F" w:rsidP="002E2A00">
      <w:pPr>
        <w:pStyle w:val="Para"/>
        <w:rPr>
          <w:rFonts w:eastAsia="Times New Roman"/>
        </w:rPr>
      </w:pPr>
      <w:r w:rsidRPr="002E2A00">
        <w:t>Examples of factors that may increase risk are</w:t>
      </w:r>
      <w:r>
        <w:rPr>
          <w:rFonts w:eastAsia="Times New Roman"/>
        </w:rPr>
        <w:t>:</w:t>
      </w:r>
    </w:p>
    <w:p w14:paraId="19436117" w14:textId="77777777" w:rsidR="0098261F" w:rsidRPr="0076153C" w:rsidRDefault="0098261F" w:rsidP="00533ED1">
      <w:pPr>
        <w:pStyle w:val="BulletedList"/>
        <w:numPr>
          <w:ilvl w:val="0"/>
          <w:numId w:val="143"/>
        </w:numPr>
      </w:pPr>
      <w:r w:rsidRPr="0076153C">
        <w:t>Unexplained</w:t>
      </w:r>
      <w:r w:rsidRPr="00B763DD">
        <w:t xml:space="preserve"> </w:t>
      </w:r>
      <w:r w:rsidRPr="0076153C">
        <w:t>urgen</w:t>
      </w:r>
      <w:r w:rsidRPr="00B763DD">
        <w:t>c</w:t>
      </w:r>
      <w:r w:rsidRPr="0076153C">
        <w:t>y</w:t>
      </w:r>
      <w:r w:rsidRPr="00B763DD">
        <w:t xml:space="preserve"> </w:t>
      </w:r>
      <w:r w:rsidRPr="0076153C">
        <w:t>of</w:t>
      </w:r>
      <w:r w:rsidRPr="00B763DD">
        <w:t xml:space="preserve"> </w:t>
      </w:r>
      <w:r w:rsidRPr="0076153C">
        <w:t>assistance</w:t>
      </w:r>
      <w:r w:rsidRPr="00B763DD">
        <w:t xml:space="preserve"> r</w:t>
      </w:r>
      <w:r w:rsidRPr="0076153C">
        <w:t>equired.</w:t>
      </w:r>
    </w:p>
    <w:p w14:paraId="18DAF621" w14:textId="0AAAB267" w:rsidR="00210734" w:rsidRDefault="00253BB9" w:rsidP="00533ED1">
      <w:pPr>
        <w:pStyle w:val="BulletedList"/>
        <w:numPr>
          <w:ilvl w:val="0"/>
          <w:numId w:val="143"/>
        </w:numPr>
      </w:pPr>
      <w:r>
        <w:t>Unusual s</w:t>
      </w:r>
      <w:r w:rsidR="0098261F" w:rsidRPr="0076153C">
        <w:t>ophisticati</w:t>
      </w:r>
      <w:r w:rsidR="0098261F" w:rsidRPr="00B763DD">
        <w:t>o</w:t>
      </w:r>
      <w:r w:rsidR="0098261F" w:rsidRPr="0076153C">
        <w:t>n</w:t>
      </w:r>
      <w:r w:rsidR="0098261F" w:rsidRPr="00B763DD">
        <w:t xml:space="preserve"> </w:t>
      </w:r>
      <w:r w:rsidR="0098261F" w:rsidRPr="0076153C">
        <w:t>of</w:t>
      </w:r>
      <w:r w:rsidR="0098261F" w:rsidRPr="00B763DD">
        <w:t xml:space="preserve"> </w:t>
      </w:r>
      <w:r w:rsidR="0098261F">
        <w:t>structure</w:t>
      </w:r>
      <w:r w:rsidR="0098261F" w:rsidRPr="0076153C">
        <w:t>,</w:t>
      </w:r>
      <w:r w:rsidR="0098261F" w:rsidRPr="00B763DD">
        <w:t xml:space="preserve"> </w:t>
      </w:r>
      <w:r w:rsidR="0098261F" w:rsidRPr="0076153C">
        <w:t>i</w:t>
      </w:r>
      <w:r w:rsidR="0098261F" w:rsidRPr="00B763DD">
        <w:t>n</w:t>
      </w:r>
      <w:r w:rsidR="0098261F" w:rsidRPr="0076153C">
        <w:t>cluding</w:t>
      </w:r>
      <w:r w:rsidR="0098261F" w:rsidRPr="00B763DD">
        <w:t xml:space="preserve"> </w:t>
      </w:r>
      <w:r w:rsidR="0098261F" w:rsidRPr="0076153C">
        <w:t>c</w:t>
      </w:r>
      <w:r w:rsidR="0098261F" w:rsidRPr="00B763DD">
        <w:t>omp</w:t>
      </w:r>
      <w:r w:rsidR="0098261F" w:rsidRPr="0076153C">
        <w:t>lexi</w:t>
      </w:r>
      <w:r w:rsidR="0098261F" w:rsidRPr="00B763DD">
        <w:t>t</w:t>
      </w:r>
      <w:r w:rsidR="0098261F" w:rsidRPr="0076153C">
        <w:t>y</w:t>
      </w:r>
      <w:r w:rsidR="0098261F" w:rsidRPr="00B763DD">
        <w:t xml:space="preserve"> </w:t>
      </w:r>
      <w:r w:rsidR="0098261F" w:rsidRPr="0076153C">
        <w:t>of</w:t>
      </w:r>
      <w:r w:rsidR="0098261F" w:rsidRPr="00B763DD">
        <w:t xml:space="preserve"> </w:t>
      </w:r>
      <w:r w:rsidR="0098261F" w:rsidRPr="0076153C">
        <w:t>con</w:t>
      </w:r>
      <w:r w:rsidR="0098261F" w:rsidRPr="00B763DD">
        <w:t>t</w:t>
      </w:r>
      <w:r w:rsidR="0098261F" w:rsidRPr="0076153C">
        <w:t>rol</w:t>
      </w:r>
      <w:r w:rsidR="0098261F" w:rsidRPr="00B763DD">
        <w:t xml:space="preserve"> </w:t>
      </w:r>
      <w:r w:rsidR="0098261F">
        <w:t>and governance arrangements and use of multiple TCSPs</w:t>
      </w:r>
      <w:r w:rsidR="0098261F" w:rsidRPr="0076153C">
        <w:t>.</w:t>
      </w:r>
    </w:p>
    <w:p w14:paraId="4C762FBC" w14:textId="76B549E9" w:rsidR="0098261F" w:rsidRDefault="0098261F" w:rsidP="00533ED1">
      <w:pPr>
        <w:pStyle w:val="BulletedList"/>
        <w:numPr>
          <w:ilvl w:val="0"/>
          <w:numId w:val="143"/>
        </w:numPr>
      </w:pPr>
      <w:r w:rsidRPr="0076153C">
        <w:t>The</w:t>
      </w:r>
      <w:r w:rsidRPr="00B763DD">
        <w:t xml:space="preserve"> </w:t>
      </w:r>
      <w:r w:rsidR="00253BB9">
        <w:t>ir</w:t>
      </w:r>
      <w:r w:rsidRPr="0076153C">
        <w:t>regularity</w:t>
      </w:r>
      <w:r w:rsidRPr="00B763DD">
        <w:t xml:space="preserve"> </w:t>
      </w:r>
      <w:r w:rsidRPr="0076153C">
        <w:t>or</w:t>
      </w:r>
      <w:r w:rsidRPr="00B763DD">
        <w:t xml:space="preserve"> </w:t>
      </w:r>
      <w:r w:rsidR="00253BB9">
        <w:t xml:space="preserve">limited </w:t>
      </w:r>
      <w:r w:rsidRPr="0076153C">
        <w:t>durat</w:t>
      </w:r>
      <w:r w:rsidRPr="00B763DD">
        <w:t>io</w:t>
      </w:r>
      <w:r w:rsidRPr="0076153C">
        <w:t>n</w:t>
      </w:r>
      <w:r w:rsidRPr="00B763DD">
        <w:t xml:space="preserve"> </w:t>
      </w:r>
      <w:r w:rsidRPr="0076153C">
        <w:t>of</w:t>
      </w:r>
      <w:r w:rsidRPr="00B763DD">
        <w:t xml:space="preserve"> </w:t>
      </w:r>
      <w:r w:rsidRPr="0076153C">
        <w:t>the</w:t>
      </w:r>
      <w:r w:rsidR="006A3862">
        <w:t xml:space="preserve"> client</w:t>
      </w:r>
      <w:r w:rsidRPr="00B763DD">
        <w:t xml:space="preserve"> </w:t>
      </w:r>
      <w:r w:rsidRPr="0076153C">
        <w:t>relationship.</w:t>
      </w:r>
      <w:r w:rsidRPr="00B763DD">
        <w:t xml:space="preserve"> </w:t>
      </w:r>
      <w:r>
        <w:t xml:space="preserve">One-off engagements for the establishment of complex trust, company or other arrangements involving legal entities without ongoing involvement </w:t>
      </w:r>
      <w:r w:rsidRPr="00B763DD">
        <w:t>m</w:t>
      </w:r>
      <w:r w:rsidRPr="0076153C">
        <w:t>ay</w:t>
      </w:r>
      <w:r w:rsidRPr="00B763DD">
        <w:t xml:space="preserve"> </w:t>
      </w:r>
      <w:r w:rsidRPr="0076153C">
        <w:t>present</w:t>
      </w:r>
      <w:r w:rsidRPr="00B763DD">
        <w:t xml:space="preserve"> </w:t>
      </w:r>
      <w:r>
        <w:t xml:space="preserve">higher </w:t>
      </w:r>
      <w:r w:rsidRPr="0076153C">
        <w:t>risk.</w:t>
      </w:r>
    </w:p>
    <w:p w14:paraId="6D1225DF" w14:textId="77777777" w:rsidR="0098261F" w:rsidRPr="0076153C" w:rsidRDefault="0098261F" w:rsidP="002E2A00">
      <w:pPr>
        <w:pStyle w:val="Para"/>
      </w:pPr>
      <w:r w:rsidRPr="00440B41">
        <w:t>Examples</w:t>
      </w:r>
      <w:r>
        <w:t xml:space="preserve"> of </w:t>
      </w:r>
      <w:r w:rsidRPr="0076153C">
        <w:t>f</w:t>
      </w:r>
      <w:r w:rsidRPr="0076153C">
        <w:rPr>
          <w:spacing w:val="1"/>
        </w:rPr>
        <w:t>a</w:t>
      </w:r>
      <w:r w:rsidRPr="0076153C">
        <w:t>ctors</w:t>
      </w:r>
      <w:r>
        <w:t xml:space="preserve"> </w:t>
      </w:r>
      <w:r w:rsidRPr="0076153C">
        <w:t>that</w:t>
      </w:r>
      <w:r>
        <w:t xml:space="preserve"> </w:t>
      </w:r>
      <w:r w:rsidRPr="0076153C">
        <w:t>may</w:t>
      </w:r>
      <w:r>
        <w:t xml:space="preserve"> decrease </w:t>
      </w:r>
      <w:r w:rsidRPr="0076153C">
        <w:t>ri</w:t>
      </w:r>
      <w:r w:rsidRPr="0076153C">
        <w:rPr>
          <w:spacing w:val="1"/>
        </w:rPr>
        <w:t>s</w:t>
      </w:r>
      <w:r w:rsidRPr="0076153C">
        <w:t>k</w:t>
      </w:r>
      <w:r>
        <w:t xml:space="preserve"> are:</w:t>
      </w:r>
    </w:p>
    <w:p w14:paraId="6C43CF66" w14:textId="77777777" w:rsidR="0098261F" w:rsidRPr="0076153C" w:rsidRDefault="0098261F" w:rsidP="00533ED1">
      <w:pPr>
        <w:pStyle w:val="BulletedList"/>
        <w:numPr>
          <w:ilvl w:val="0"/>
          <w:numId w:val="144"/>
        </w:numPr>
      </w:pPr>
      <w:r w:rsidRPr="0076153C">
        <w:t>Involve</w:t>
      </w:r>
      <w:r w:rsidRPr="00B763DD">
        <w:t>m</w:t>
      </w:r>
      <w:r w:rsidRPr="0076153C">
        <w:t>ent</w:t>
      </w:r>
      <w:r w:rsidRPr="00B763DD">
        <w:t xml:space="preserve"> </w:t>
      </w:r>
      <w:r w:rsidRPr="0076153C">
        <w:t>of</w:t>
      </w:r>
      <w:r w:rsidRPr="00B763DD">
        <w:t xml:space="preserve"> </w:t>
      </w:r>
      <w:r w:rsidRPr="0076153C">
        <w:t>financial</w:t>
      </w:r>
      <w:r w:rsidRPr="00B763DD">
        <w:t xml:space="preserve"> </w:t>
      </w:r>
      <w:r w:rsidRPr="0076153C">
        <w:t>institutions</w:t>
      </w:r>
      <w:r w:rsidRPr="00B763DD">
        <w:t xml:space="preserve"> </w:t>
      </w:r>
      <w:r w:rsidRPr="0076153C">
        <w:t>or</w:t>
      </w:r>
      <w:r w:rsidRPr="00B763DD">
        <w:t xml:space="preserve"> </w:t>
      </w:r>
      <w:r w:rsidRPr="0076153C">
        <w:t>other</w:t>
      </w:r>
      <w:r w:rsidRPr="00B763DD">
        <w:t xml:space="preserve"> </w:t>
      </w:r>
      <w:r w:rsidRPr="0076153C">
        <w:t>DNFBPs</w:t>
      </w:r>
      <w:r>
        <w:t xml:space="preserve"> or TCSPs which are regulated in their home jurisdiction and subject to appropriate AML/CFT regulation</w:t>
      </w:r>
      <w:r w:rsidRPr="0076153C">
        <w:t>.</w:t>
      </w:r>
    </w:p>
    <w:p w14:paraId="007871C5" w14:textId="2698FCD8" w:rsidR="0098261F" w:rsidRPr="0076153C" w:rsidRDefault="0098261F" w:rsidP="00533ED1">
      <w:pPr>
        <w:pStyle w:val="BulletedList"/>
        <w:numPr>
          <w:ilvl w:val="0"/>
          <w:numId w:val="144"/>
        </w:numPr>
      </w:pPr>
      <w:r w:rsidRPr="0076153C">
        <w:lastRenderedPageBreak/>
        <w:t>Role</w:t>
      </w:r>
      <w:r w:rsidRPr="00B763DD">
        <w:t xml:space="preserve"> </w:t>
      </w:r>
      <w:r w:rsidRPr="0076153C">
        <w:t>or</w:t>
      </w:r>
      <w:r w:rsidRPr="00B763DD">
        <w:t xml:space="preserve"> </w:t>
      </w:r>
      <w:r w:rsidRPr="0076153C">
        <w:t>oversight</w:t>
      </w:r>
      <w:r w:rsidRPr="00B763DD">
        <w:t xml:space="preserve"> </w:t>
      </w:r>
      <w:r w:rsidRPr="0076153C">
        <w:t>of</w:t>
      </w:r>
      <w:r w:rsidRPr="00B763DD">
        <w:t xml:space="preserve"> </w:t>
      </w:r>
      <w:r w:rsidRPr="0076153C">
        <w:t>a</w:t>
      </w:r>
      <w:r w:rsidRPr="00B763DD">
        <w:t xml:space="preserve"> </w:t>
      </w:r>
      <w:r w:rsidRPr="0076153C">
        <w:t>regulator</w:t>
      </w:r>
      <w:r w:rsidR="00253BB9">
        <w:t xml:space="preserve"> or multiple regulators</w:t>
      </w:r>
      <w:r>
        <w:t xml:space="preserve"> (e.g. regulating TCSP</w:t>
      </w:r>
      <w:r w:rsidR="00734463">
        <w:t>s,</w:t>
      </w:r>
      <w:r>
        <w:t xml:space="preserve"> trustee</w:t>
      </w:r>
      <w:r w:rsidR="00734463">
        <w:t>s</w:t>
      </w:r>
      <w:r>
        <w:t xml:space="preserve"> or any other person exercising effective control)</w:t>
      </w:r>
      <w:r w:rsidRPr="0076153C">
        <w:t>.</w:t>
      </w:r>
    </w:p>
    <w:p w14:paraId="27B153D5" w14:textId="15C15E00" w:rsidR="0098261F" w:rsidRPr="0076153C" w:rsidRDefault="0098261F" w:rsidP="00533ED1">
      <w:pPr>
        <w:pStyle w:val="BulletedList"/>
        <w:numPr>
          <w:ilvl w:val="0"/>
          <w:numId w:val="144"/>
        </w:numPr>
      </w:pPr>
      <w:r w:rsidRPr="0076153C">
        <w:t>The</w:t>
      </w:r>
      <w:r w:rsidRPr="00B763DD">
        <w:t xml:space="preserve"> </w:t>
      </w:r>
      <w:r w:rsidRPr="0076153C">
        <w:t>regularity</w:t>
      </w:r>
      <w:r w:rsidRPr="00B763DD">
        <w:t xml:space="preserve"> </w:t>
      </w:r>
      <w:r w:rsidRPr="0076153C">
        <w:t>or</w:t>
      </w:r>
      <w:r w:rsidRPr="00B763DD">
        <w:t xml:space="preserve"> </w:t>
      </w:r>
      <w:r w:rsidRPr="0076153C">
        <w:t>durat</w:t>
      </w:r>
      <w:r w:rsidRPr="00B763DD">
        <w:t>io</w:t>
      </w:r>
      <w:r w:rsidRPr="0076153C">
        <w:t>n</w:t>
      </w:r>
      <w:r w:rsidRPr="00B763DD">
        <w:t xml:space="preserve"> </w:t>
      </w:r>
      <w:r w:rsidRPr="0076153C">
        <w:t>of</w:t>
      </w:r>
      <w:r w:rsidRPr="00B763DD">
        <w:t xml:space="preserve"> </w:t>
      </w:r>
      <w:r w:rsidRPr="0076153C">
        <w:t>the</w:t>
      </w:r>
      <w:r w:rsidRPr="00B763DD">
        <w:t xml:space="preserve"> </w:t>
      </w:r>
      <w:r w:rsidR="006A3862">
        <w:t xml:space="preserve">client </w:t>
      </w:r>
      <w:r w:rsidRPr="0076153C">
        <w:t>relationship.</w:t>
      </w:r>
      <w:r w:rsidRPr="00B763DD">
        <w:t xml:space="preserve"> </w:t>
      </w:r>
      <w:r w:rsidRPr="0076153C">
        <w:t>L</w:t>
      </w:r>
      <w:r w:rsidRPr="00B763DD">
        <w:t>o</w:t>
      </w:r>
      <w:r w:rsidRPr="0076153C">
        <w:t>n</w:t>
      </w:r>
      <w:r w:rsidRPr="00B763DD">
        <w:t>g</w:t>
      </w:r>
      <w:r w:rsidRPr="0076153C">
        <w:t>-standing</w:t>
      </w:r>
      <w:r w:rsidRPr="00B763DD">
        <w:t xml:space="preserve"> </w:t>
      </w:r>
      <w:r w:rsidRPr="0076153C">
        <w:t>relationsh</w:t>
      </w:r>
      <w:r w:rsidRPr="00B763DD">
        <w:t>i</w:t>
      </w:r>
      <w:r w:rsidRPr="0076153C">
        <w:t>ps</w:t>
      </w:r>
      <w:r w:rsidRPr="00B763DD">
        <w:t xml:space="preserve"> </w:t>
      </w:r>
      <w:r w:rsidRPr="0076153C">
        <w:t>involvi</w:t>
      </w:r>
      <w:r w:rsidRPr="00B763DD">
        <w:t>n</w:t>
      </w:r>
      <w:r w:rsidRPr="0076153C">
        <w:t>g</w:t>
      </w:r>
      <w:r w:rsidRPr="00B763DD">
        <w:t xml:space="preserve"> </w:t>
      </w:r>
      <w:r w:rsidRPr="0076153C">
        <w:t>freq</w:t>
      </w:r>
      <w:r w:rsidRPr="00B763DD">
        <w:t>u</w:t>
      </w:r>
      <w:r w:rsidRPr="0076153C">
        <w:t>e</w:t>
      </w:r>
      <w:r w:rsidRPr="00B763DD">
        <w:t>n</w:t>
      </w:r>
      <w:r w:rsidRPr="0076153C">
        <w:t>t client</w:t>
      </w:r>
      <w:r w:rsidRPr="00B763DD">
        <w:t xml:space="preserve"> </w:t>
      </w:r>
      <w:r w:rsidRPr="0076153C">
        <w:t>contact</w:t>
      </w:r>
      <w:r w:rsidRPr="00B763DD">
        <w:t xml:space="preserve"> </w:t>
      </w:r>
      <w:r w:rsidRPr="0076153C">
        <w:t>throughout</w:t>
      </w:r>
      <w:r w:rsidRPr="00B763DD">
        <w:t xml:space="preserve"> </w:t>
      </w:r>
      <w:r w:rsidRPr="0076153C">
        <w:t>the</w:t>
      </w:r>
      <w:r w:rsidRPr="00B763DD">
        <w:t xml:space="preserve"> </w:t>
      </w:r>
      <w:r w:rsidRPr="0076153C">
        <w:t>relationship</w:t>
      </w:r>
      <w:r w:rsidRPr="00B763DD">
        <w:t xml:space="preserve"> m</w:t>
      </w:r>
      <w:r w:rsidRPr="0076153C">
        <w:t>ay</w:t>
      </w:r>
      <w:r w:rsidRPr="00B763DD">
        <w:t xml:space="preserve"> </w:t>
      </w:r>
      <w:r w:rsidRPr="0076153C">
        <w:t>present</w:t>
      </w:r>
      <w:r w:rsidRPr="00B763DD">
        <w:t xml:space="preserve"> </w:t>
      </w:r>
      <w:r w:rsidRPr="0076153C">
        <w:t>less</w:t>
      </w:r>
      <w:r w:rsidRPr="00B763DD">
        <w:t xml:space="preserve"> </w:t>
      </w:r>
      <w:r w:rsidRPr="0076153C">
        <w:t>risk.</w:t>
      </w:r>
      <w:r>
        <w:t xml:space="preserve"> In addition, a relationship may present less risk where, for example, the TCSP provides an integrated service, including acting as or providing trustees or directors of the trust, company or other legal entity and responsibility for preparation of accounts or maintaining the books and financial records of such trust, company or other legal entity.</w:t>
      </w:r>
    </w:p>
    <w:p w14:paraId="58E9CDDF" w14:textId="77777777" w:rsidR="0098261F" w:rsidRPr="0076153C" w:rsidRDefault="0098261F" w:rsidP="00533ED1">
      <w:pPr>
        <w:pStyle w:val="BulletedList"/>
        <w:numPr>
          <w:ilvl w:val="0"/>
          <w:numId w:val="144"/>
        </w:numPr>
      </w:pPr>
      <w:r w:rsidRPr="0076153C">
        <w:t>Clients</w:t>
      </w:r>
      <w:r w:rsidRPr="00B763DD">
        <w:t xml:space="preserve"> </w:t>
      </w:r>
      <w:r w:rsidRPr="0076153C">
        <w:t>who</w:t>
      </w:r>
      <w:r w:rsidRPr="00B763DD">
        <w:t xml:space="preserve"> h</w:t>
      </w:r>
      <w:r w:rsidRPr="0076153C">
        <w:t>ave</w:t>
      </w:r>
      <w:r w:rsidRPr="00B763DD">
        <w:t xml:space="preserve"> </w:t>
      </w:r>
      <w:r w:rsidRPr="0076153C">
        <w:t>a</w:t>
      </w:r>
      <w:r w:rsidRPr="00B763DD">
        <w:t xml:space="preserve"> </w:t>
      </w:r>
      <w:r w:rsidRPr="0076153C">
        <w:t>reputation</w:t>
      </w:r>
      <w:r w:rsidRPr="00B763DD">
        <w:t xml:space="preserve"> </w:t>
      </w:r>
      <w:r w:rsidRPr="0076153C">
        <w:t>for</w:t>
      </w:r>
      <w:r w:rsidRPr="00B763DD">
        <w:t xml:space="preserve"> </w:t>
      </w:r>
      <w:r w:rsidRPr="0076153C">
        <w:t>probi</w:t>
      </w:r>
      <w:r w:rsidRPr="00B763DD">
        <w:t>t</w:t>
      </w:r>
      <w:r w:rsidRPr="0076153C">
        <w:t>y</w:t>
      </w:r>
      <w:r w:rsidRPr="00B763DD">
        <w:t xml:space="preserve"> </w:t>
      </w:r>
      <w:r w:rsidRPr="0076153C">
        <w:t>in</w:t>
      </w:r>
      <w:r w:rsidRPr="00B763DD">
        <w:t xml:space="preserve"> </w:t>
      </w:r>
      <w:r w:rsidRPr="0076153C">
        <w:t>the</w:t>
      </w:r>
      <w:r w:rsidRPr="00B763DD">
        <w:t xml:space="preserve"> </w:t>
      </w:r>
      <w:r w:rsidRPr="0076153C">
        <w:t>local</w:t>
      </w:r>
      <w:r w:rsidRPr="00B763DD">
        <w:t xml:space="preserve"> </w:t>
      </w:r>
      <w:r w:rsidRPr="0076153C">
        <w:t>communities.</w:t>
      </w:r>
    </w:p>
    <w:p w14:paraId="1C8BD1E6" w14:textId="77777777" w:rsidR="0098261F" w:rsidRPr="0076153C" w:rsidRDefault="0098261F" w:rsidP="00533ED1">
      <w:pPr>
        <w:pStyle w:val="BulletedList"/>
        <w:numPr>
          <w:ilvl w:val="0"/>
          <w:numId w:val="144"/>
        </w:numPr>
      </w:pPr>
      <w:r>
        <w:t xml:space="preserve">Trusts, </w:t>
      </w:r>
      <w:r w:rsidRPr="0076153C">
        <w:t>c</w:t>
      </w:r>
      <w:r w:rsidRPr="00B763DD">
        <w:t>omp</w:t>
      </w:r>
      <w:r w:rsidRPr="0076153C">
        <w:t>anies</w:t>
      </w:r>
      <w:r w:rsidRPr="00B763DD">
        <w:t xml:space="preserve"> </w:t>
      </w:r>
      <w:r>
        <w:t xml:space="preserve">or other legal entities </w:t>
      </w:r>
      <w:r w:rsidRPr="0076153C">
        <w:t>that</w:t>
      </w:r>
      <w:r w:rsidRPr="00B763DD">
        <w:t xml:space="preserve"> </w:t>
      </w:r>
      <w:r w:rsidRPr="0076153C">
        <w:t>are</w:t>
      </w:r>
      <w:r w:rsidRPr="00B763DD">
        <w:t xml:space="preserve"> </w:t>
      </w:r>
      <w:r w:rsidRPr="0076153C">
        <w:t>transpare</w:t>
      </w:r>
      <w:r w:rsidRPr="00B763DD">
        <w:t>n</w:t>
      </w:r>
      <w:r w:rsidRPr="0076153C">
        <w:t>t</w:t>
      </w:r>
      <w:r w:rsidRPr="00B763DD">
        <w:t xml:space="preserve"> </w:t>
      </w:r>
      <w:r w:rsidRPr="0076153C">
        <w:t>and</w:t>
      </w:r>
      <w:r w:rsidRPr="00B763DD">
        <w:t xml:space="preserve"> </w:t>
      </w:r>
      <w:r w:rsidRPr="0076153C">
        <w:t>well</w:t>
      </w:r>
      <w:r>
        <w:t>-</w:t>
      </w:r>
      <w:r w:rsidRPr="0076153C">
        <w:t>know</w:t>
      </w:r>
      <w:r>
        <w:t>n</w:t>
      </w:r>
      <w:r w:rsidRPr="00B763DD">
        <w:t xml:space="preserve"> </w:t>
      </w:r>
      <w:r w:rsidRPr="0076153C">
        <w:t>in</w:t>
      </w:r>
      <w:r w:rsidRPr="00B763DD">
        <w:t xml:space="preserve"> </w:t>
      </w:r>
      <w:r w:rsidRPr="0076153C">
        <w:t>the</w:t>
      </w:r>
      <w:r w:rsidRPr="00B763DD">
        <w:t xml:space="preserve"> p</w:t>
      </w:r>
      <w:r w:rsidRPr="0076153C">
        <w:t>ublic</w:t>
      </w:r>
      <w:r w:rsidRPr="00B763DD">
        <w:t xml:space="preserve"> </w:t>
      </w:r>
      <w:r w:rsidRPr="0076153C">
        <w:t>do</w:t>
      </w:r>
      <w:r w:rsidRPr="00B763DD">
        <w:t>m</w:t>
      </w:r>
      <w:r w:rsidRPr="0076153C">
        <w:t>ain.</w:t>
      </w:r>
    </w:p>
    <w:p w14:paraId="3B001350" w14:textId="77777777" w:rsidR="0098261F" w:rsidRDefault="0098261F" w:rsidP="00533ED1">
      <w:pPr>
        <w:pStyle w:val="BulletedList"/>
        <w:numPr>
          <w:ilvl w:val="0"/>
          <w:numId w:val="144"/>
        </w:numPr>
      </w:pPr>
      <w:r>
        <w:t>Listed entities and other business arrangements, such as pension trusts and employee benefit trusts and other trusts used for commercial purposes.</w:t>
      </w:r>
    </w:p>
    <w:p w14:paraId="0CF1A4BB" w14:textId="5BEEA988" w:rsidR="0098261F" w:rsidRDefault="0098261F" w:rsidP="00533ED1">
      <w:pPr>
        <w:pStyle w:val="BulletedList"/>
        <w:numPr>
          <w:ilvl w:val="0"/>
          <w:numId w:val="144"/>
        </w:numPr>
      </w:pPr>
      <w:r w:rsidRPr="0076153C">
        <w:t>The</w:t>
      </w:r>
      <w:r w:rsidRPr="00B763DD">
        <w:t xml:space="preserve"> </w:t>
      </w:r>
      <w:r w:rsidRPr="0076153C">
        <w:t>fa</w:t>
      </w:r>
      <w:r w:rsidRPr="00B763DD">
        <w:t>m</w:t>
      </w:r>
      <w:r w:rsidRPr="0076153C">
        <w:t>iliarity</w:t>
      </w:r>
      <w:r w:rsidRPr="00B763DD">
        <w:t xml:space="preserve"> </w:t>
      </w:r>
      <w:r w:rsidRPr="0076153C">
        <w:t>of</w:t>
      </w:r>
      <w:r>
        <w:t xml:space="preserve"> </w:t>
      </w:r>
      <w:r w:rsidRPr="0076153C">
        <w:t>the</w:t>
      </w:r>
      <w:r w:rsidRPr="00B763DD">
        <w:t xml:space="preserve"> </w:t>
      </w:r>
      <w:r>
        <w:t>TCSP</w:t>
      </w:r>
      <w:r w:rsidRPr="00B763DD">
        <w:t xml:space="preserve"> </w:t>
      </w:r>
      <w:r w:rsidRPr="0076153C">
        <w:t>with</w:t>
      </w:r>
      <w:r w:rsidRPr="00B763DD">
        <w:t xml:space="preserve"> </w:t>
      </w:r>
      <w:r w:rsidRPr="0076153C">
        <w:t>a</w:t>
      </w:r>
      <w:r>
        <w:t xml:space="preserve"> </w:t>
      </w:r>
      <w:r w:rsidRPr="0076153C">
        <w:t>countr</w:t>
      </w:r>
      <w:r w:rsidRPr="00B763DD">
        <w:t>y</w:t>
      </w:r>
      <w:r w:rsidRPr="0076153C">
        <w:t>,</w:t>
      </w:r>
      <w:r w:rsidRPr="00B763DD">
        <w:t xml:space="preserve"> </w:t>
      </w:r>
      <w:r w:rsidRPr="0076153C">
        <w:t>including</w:t>
      </w:r>
      <w:r w:rsidRPr="00B763DD">
        <w:t xml:space="preserve"> k</w:t>
      </w:r>
      <w:r w:rsidRPr="0076153C">
        <w:t>nowledge</w:t>
      </w:r>
      <w:r w:rsidRPr="00B763DD">
        <w:t xml:space="preserve"> </w:t>
      </w:r>
      <w:r w:rsidRPr="0076153C">
        <w:t>of</w:t>
      </w:r>
      <w:r>
        <w:t xml:space="preserve"> </w:t>
      </w:r>
      <w:r w:rsidRPr="0076153C">
        <w:t>local</w:t>
      </w:r>
      <w:r w:rsidRPr="00B763DD">
        <w:t xml:space="preserve"> </w:t>
      </w:r>
      <w:r w:rsidRPr="0076153C">
        <w:t>laws</w:t>
      </w:r>
      <w:r w:rsidRPr="00B763DD">
        <w:t xml:space="preserve"> </w:t>
      </w:r>
      <w:r w:rsidRPr="0076153C">
        <w:t>and regulations</w:t>
      </w:r>
      <w:r w:rsidRPr="00B763DD">
        <w:t xml:space="preserve"> </w:t>
      </w:r>
      <w:r w:rsidRPr="0076153C">
        <w:t>as</w:t>
      </w:r>
      <w:r w:rsidRPr="00B763DD">
        <w:t xml:space="preserve"> </w:t>
      </w:r>
      <w:r w:rsidRPr="0076153C">
        <w:t>well</w:t>
      </w:r>
      <w:r w:rsidRPr="00B763DD">
        <w:t xml:space="preserve"> </w:t>
      </w:r>
      <w:r w:rsidRPr="0076153C">
        <w:t>as</w:t>
      </w:r>
      <w:r w:rsidRPr="00B763DD">
        <w:t xml:space="preserve"> </w:t>
      </w:r>
      <w:r w:rsidRPr="0076153C">
        <w:t>the</w:t>
      </w:r>
      <w:r w:rsidRPr="00B763DD">
        <w:t xml:space="preserve"> </w:t>
      </w:r>
      <w:r w:rsidRPr="0076153C">
        <w:t>structure</w:t>
      </w:r>
      <w:r w:rsidRPr="00B763DD">
        <w:t xml:space="preserve"> </w:t>
      </w:r>
      <w:r w:rsidRPr="0076153C">
        <w:t>and</w:t>
      </w:r>
      <w:r w:rsidRPr="00B763DD">
        <w:t xml:space="preserve"> </w:t>
      </w:r>
      <w:r w:rsidRPr="0076153C">
        <w:t>extent</w:t>
      </w:r>
      <w:r w:rsidRPr="00B763DD">
        <w:t xml:space="preserve"> </w:t>
      </w:r>
      <w:r w:rsidRPr="0076153C">
        <w:t>of</w:t>
      </w:r>
      <w:r w:rsidRPr="00B763DD">
        <w:t xml:space="preserve"> </w:t>
      </w:r>
      <w:r w:rsidRPr="0076153C">
        <w:t>regu</w:t>
      </w:r>
      <w:r w:rsidRPr="00B763DD">
        <w:t>l</w:t>
      </w:r>
      <w:r w:rsidRPr="0076153C">
        <w:t>atory</w:t>
      </w:r>
      <w:r w:rsidRPr="00B763DD">
        <w:t xml:space="preserve"> </w:t>
      </w:r>
      <w:r w:rsidRPr="0076153C">
        <w:t>oversi</w:t>
      </w:r>
      <w:r w:rsidRPr="00B763DD">
        <w:t>g</w:t>
      </w:r>
      <w:r w:rsidRPr="0076153C">
        <w:t>ht.</w:t>
      </w:r>
    </w:p>
    <w:p w14:paraId="18817A84" w14:textId="77777777" w:rsidR="00834199" w:rsidRPr="00834199" w:rsidRDefault="00834199" w:rsidP="002E2A00">
      <w:pPr>
        <w:pStyle w:val="Heading3"/>
      </w:pPr>
      <w:bookmarkStart w:id="221" w:name="_Toc1994933"/>
      <w:r w:rsidRPr="002E2A00">
        <w:t>Documentation</w:t>
      </w:r>
      <w:r w:rsidRPr="00834199">
        <w:t xml:space="preserve"> of risk assessments</w:t>
      </w:r>
      <w:bookmarkEnd w:id="221"/>
    </w:p>
    <w:p w14:paraId="3A45E987" w14:textId="679E6354" w:rsidR="00834199" w:rsidRPr="002E2A00" w:rsidRDefault="00B3472F" w:rsidP="00A404A5">
      <w:pPr>
        <w:pStyle w:val="Para"/>
        <w:spacing w:line="228" w:lineRule="auto"/>
      </w:pPr>
      <w:r w:rsidRPr="002E68E5">
        <w:t>TCSPs</w:t>
      </w:r>
      <w:r w:rsidR="00834199" w:rsidRPr="002E68E5">
        <w:t xml:space="preserve"> </w:t>
      </w:r>
      <w:r w:rsidR="00834199" w:rsidRPr="002E2A00">
        <w:t>must always understand their ML/TF risks, however, competent authorities or SRBs may determine that individual documented risk assessments are not required, if the specific risks inherent to the sector are clearly identified and understood.</w:t>
      </w:r>
      <w:r w:rsidR="00920886">
        <w:rPr>
          <w:rStyle w:val="FootnoteReference"/>
        </w:rPr>
        <w:footnoteReference w:id="23"/>
      </w:r>
      <w:r w:rsidR="00834199" w:rsidRPr="002E2A00">
        <w:t xml:space="preserve"> </w:t>
      </w:r>
    </w:p>
    <w:p w14:paraId="271CB623" w14:textId="532B72A6" w:rsidR="00834199" w:rsidRPr="002E2A00" w:rsidRDefault="00B3472F" w:rsidP="00A404A5">
      <w:pPr>
        <w:pStyle w:val="Para"/>
        <w:spacing w:line="228" w:lineRule="auto"/>
      </w:pPr>
      <w:r w:rsidRPr="002E2A00">
        <w:t>TCSPs</w:t>
      </w:r>
      <w:r w:rsidR="00834199" w:rsidRPr="002E2A00">
        <w:t xml:space="preserve"> may fail to satisfy their AML/CFT obligations, for example by relying completely on a checklist risk assessment where there are other clear indicators of potential illicit activity. Completing risk assessments in a time efficient yet comprehensive manner </w:t>
      </w:r>
      <w:r w:rsidR="007204B4" w:rsidRPr="002E2A00">
        <w:t xml:space="preserve">is </w:t>
      </w:r>
      <w:r w:rsidR="00834199" w:rsidRPr="002E2A00">
        <w:t>important.</w:t>
      </w:r>
    </w:p>
    <w:p w14:paraId="7B9051CC" w14:textId="77777777" w:rsidR="00B3472F" w:rsidRPr="002E2A00" w:rsidRDefault="00834199" w:rsidP="00A404A5">
      <w:pPr>
        <w:pStyle w:val="Para"/>
        <w:spacing w:line="228" w:lineRule="auto"/>
      </w:pPr>
      <w:r w:rsidRPr="002E2A00">
        <w:t xml:space="preserve">Each of these risks could be assessed using indicators such as low risk, medium risk and/or high risk. A short explanation of the reasons for each attribution should be included and an overall assessment of risk determined. An action plan (if required) should then be outlined to accompany the assessment, and dated. In assessing the risk profile of the client at this stage, reference must be made to the relevant targeted financial sanctions lists to confirm neither the client nor the beneficial owner is designated and included in any of them. </w:t>
      </w:r>
    </w:p>
    <w:p w14:paraId="0FF97014" w14:textId="10CDFD9F" w:rsidR="00834199" w:rsidRPr="002E2A00" w:rsidRDefault="00834199" w:rsidP="00A404A5">
      <w:pPr>
        <w:pStyle w:val="Para"/>
        <w:spacing w:line="228" w:lineRule="auto"/>
      </w:pPr>
      <w:r w:rsidRPr="002E2A00">
        <w:t>A risk assessment of this kind should not only be carried out for each specific client and service on an individual basis, but also to assess and document the risks on a firm-wide basis, and to keep risk assessment up-to-date through monitoring of the client relationship. The written risk assessment should be made accessible to all professionals having to perform AML/CFT duties.</w:t>
      </w:r>
    </w:p>
    <w:p w14:paraId="6182BB79" w14:textId="334C447F" w:rsidR="00AB1275" w:rsidRPr="002E2A00" w:rsidRDefault="00AB1275" w:rsidP="00A404A5">
      <w:pPr>
        <w:pStyle w:val="Para"/>
        <w:spacing w:line="228" w:lineRule="auto"/>
      </w:pPr>
      <w:r w:rsidRPr="002E2A00">
        <w:t>Where TCSPs are involved in longer term transactions, risk assessments should be undertaken at suitable intervals across the life of the transaction, to ensure no significant risk factors have changed in the intervening period (e.g. new parties to the transac</w:t>
      </w:r>
      <w:r w:rsidR="00BF5699">
        <w:t xml:space="preserve">tion, new sources of funds etc.). </w:t>
      </w:r>
    </w:p>
    <w:p w14:paraId="498777CE" w14:textId="0219350E" w:rsidR="00AB1275" w:rsidRPr="002E2A00" w:rsidRDefault="005A7F73" w:rsidP="00A404A5">
      <w:pPr>
        <w:pStyle w:val="Para"/>
        <w:spacing w:line="228" w:lineRule="auto"/>
      </w:pPr>
      <w:r w:rsidRPr="002E2A00">
        <w:t xml:space="preserve">A final risk assessment should be undertaken before a transaction has completed, allowing time for any required suspicious activity report, where required and appropriate, </w:t>
      </w:r>
      <w:r w:rsidRPr="002E2A00">
        <w:lastRenderedPageBreak/>
        <w:t>to be filed and any authority to move or transfer assets to be obtained from law enforcement (in countries where this is applicable).</w:t>
      </w:r>
    </w:p>
    <w:p w14:paraId="2D49440B" w14:textId="77777777" w:rsidR="0098261F" w:rsidRDefault="0098261F" w:rsidP="00A404A5">
      <w:pPr>
        <w:pStyle w:val="Heading2"/>
        <w:spacing w:before="120" w:after="120"/>
      </w:pPr>
      <w:bookmarkStart w:id="222" w:name="_Toc525561746"/>
      <w:bookmarkStart w:id="223" w:name="_Toc525562440"/>
      <w:bookmarkStart w:id="224" w:name="_Toc1994934"/>
      <w:r>
        <w:t>Risk mitigation</w:t>
      </w:r>
      <w:bookmarkEnd w:id="222"/>
      <w:bookmarkEnd w:id="223"/>
      <w:bookmarkEnd w:id="224"/>
    </w:p>
    <w:p w14:paraId="616CA90F" w14:textId="16F90790" w:rsidR="00B3472F" w:rsidRDefault="0098261F" w:rsidP="00A404A5">
      <w:pPr>
        <w:pStyle w:val="Para"/>
        <w:spacing w:line="228" w:lineRule="auto"/>
      </w:pPr>
      <w:r>
        <w:rPr>
          <w:rFonts w:eastAsia="Times New Roman"/>
        </w:rPr>
        <w:t xml:space="preserve">TCSPs </w:t>
      </w:r>
      <w:r>
        <w:t xml:space="preserve">should </w:t>
      </w:r>
      <w:r w:rsidRPr="00563AB0">
        <w:rPr>
          <w:rFonts w:eastAsia="Times New Roman"/>
        </w:rPr>
        <w:t>have</w:t>
      </w:r>
      <w:r>
        <w:t xml:space="preserve"> policies, controls and procedures that enable them to </w:t>
      </w:r>
      <w:r w:rsidR="006A3862">
        <w:t xml:space="preserve">effectively </w:t>
      </w:r>
      <w:r>
        <w:t xml:space="preserve">manage and </w:t>
      </w:r>
      <w:r w:rsidRPr="002E2A00">
        <w:t>mitigate</w:t>
      </w:r>
      <w:r>
        <w:t xml:space="preserve"> the risks that they have identified (or that have been identified by the country). They should monitor the implementation of those controls and enhance or improve them if they find the controls to be weak or ineffective. The policies, controls and procedures should be approved by senior management and the measures taken to manage and mitigate the risks (whether higher or lower) should be consistent with national requirements and with guidance from competent authorities and supervisors.</w:t>
      </w:r>
      <w:r w:rsidR="00B3472F" w:rsidRPr="00B3472F">
        <w:t xml:space="preserve"> </w:t>
      </w:r>
      <w:r w:rsidR="005F2CB5">
        <w:t>M</w:t>
      </w:r>
      <w:r w:rsidR="00B3472F">
        <w:t>easures and controls may include:</w:t>
      </w:r>
    </w:p>
    <w:p w14:paraId="209EA015" w14:textId="1C150133" w:rsidR="00B3472F" w:rsidRDefault="00B3472F" w:rsidP="00533ED1">
      <w:pPr>
        <w:pStyle w:val="BulletedList"/>
        <w:numPr>
          <w:ilvl w:val="0"/>
          <w:numId w:val="145"/>
        </w:numPr>
      </w:pPr>
      <w:r>
        <w:t xml:space="preserve">General training on </w:t>
      </w:r>
      <w:r w:rsidR="003263BB">
        <w:t>ML/TF</w:t>
      </w:r>
      <w:r>
        <w:t xml:space="preserve"> methods and risks relevant to TCSPs. </w:t>
      </w:r>
    </w:p>
    <w:p w14:paraId="0070143C" w14:textId="4EE31A84" w:rsidR="00B3472F" w:rsidRDefault="00B3472F" w:rsidP="00533ED1">
      <w:pPr>
        <w:pStyle w:val="BulletedList"/>
        <w:numPr>
          <w:ilvl w:val="0"/>
          <w:numId w:val="145"/>
        </w:numPr>
      </w:pPr>
      <w:r>
        <w:t>Targeted training for increased awareness by the TCSPs providing specified activities to higher risk clients or to TCSPs undertaking higher risk work.</w:t>
      </w:r>
    </w:p>
    <w:p w14:paraId="66C4E3AA" w14:textId="486D59FB" w:rsidR="00B3472F" w:rsidRDefault="00B3472F" w:rsidP="00533ED1">
      <w:pPr>
        <w:pStyle w:val="BulletedList"/>
        <w:numPr>
          <w:ilvl w:val="0"/>
          <w:numId w:val="145"/>
        </w:numPr>
      </w:pPr>
      <w:r>
        <w:t xml:space="preserve">Increased or more appropriately targeted CDD or </w:t>
      </w:r>
      <w:r w:rsidR="005A7F73">
        <w:t>CDD</w:t>
      </w:r>
      <w:r w:rsidR="005A7F73" w:rsidRPr="00197C11">
        <w:t xml:space="preserve"> for higher risk </w:t>
      </w:r>
      <w:r w:rsidR="005A7F73">
        <w:t>clients/</w:t>
      </w:r>
      <w:r w:rsidR="005A7F73" w:rsidRPr="00197C11">
        <w:t>situations that concentrate on providing a better understanding about the potential source of risk and obtaining the necessary information to make informed decisions about how to proceed</w:t>
      </w:r>
      <w:r w:rsidR="005A7F73">
        <w:rPr>
          <w:rFonts w:cs="Arial"/>
          <w:szCs w:val="22"/>
        </w:rPr>
        <w:t xml:space="preserve"> (if the transaction/ business relationship can be proceeded with)</w:t>
      </w:r>
      <w:r w:rsidR="005A7F73" w:rsidRPr="00197C11">
        <w:t>.</w:t>
      </w:r>
      <w:r w:rsidR="005A7F73">
        <w:t xml:space="preserve"> This could include training on when and how to ascertain, evidence and record source of wealth and beneficial ownership information if required.</w:t>
      </w:r>
    </w:p>
    <w:p w14:paraId="1224A5FF" w14:textId="67D9BF15" w:rsidR="00B3472F" w:rsidRDefault="00B3472F" w:rsidP="00533ED1">
      <w:pPr>
        <w:pStyle w:val="BulletedList"/>
        <w:numPr>
          <w:ilvl w:val="0"/>
          <w:numId w:val="145"/>
        </w:numPr>
      </w:pPr>
      <w:r>
        <w:t>Periodic review of the services offered by the TCSP, and the periodic evaluation of the AML/CFT framework applicable to the TCSP and the TCSP’s own AML/CFT procedures, to determine whether the ML/TF risk has increased</w:t>
      </w:r>
      <w:r w:rsidR="00707891">
        <w:t xml:space="preserve"> and adequate controls are in place to mitigate those increased risks</w:t>
      </w:r>
      <w:r>
        <w:t xml:space="preserve">. </w:t>
      </w:r>
    </w:p>
    <w:p w14:paraId="6EC436FB" w14:textId="56BDF0DB" w:rsidR="0098261F" w:rsidRDefault="00B3472F" w:rsidP="00533ED1">
      <w:pPr>
        <w:pStyle w:val="BulletedList"/>
        <w:numPr>
          <w:ilvl w:val="0"/>
          <w:numId w:val="145"/>
        </w:numPr>
      </w:pPr>
      <w:r>
        <w:t xml:space="preserve">Reviewing client relationships </w:t>
      </w:r>
      <w:r w:rsidR="00707891">
        <w:t>on a periodic basis</w:t>
      </w:r>
      <w:r>
        <w:t xml:space="preserve"> to determine whether the ML/TF risk has increased.</w:t>
      </w:r>
    </w:p>
    <w:p w14:paraId="787E24FB" w14:textId="5B3E29F4" w:rsidR="0098261F" w:rsidRPr="0076153C" w:rsidRDefault="005463DD" w:rsidP="002E2A00">
      <w:pPr>
        <w:pStyle w:val="Heading3"/>
      </w:pPr>
      <w:bookmarkStart w:id="225" w:name="_Toc1994935"/>
      <w:r>
        <w:rPr>
          <w:u w:color="000000"/>
        </w:rPr>
        <w:t>I</w:t>
      </w:r>
      <w:r w:rsidR="0098261F">
        <w:rPr>
          <w:u w:color="000000"/>
        </w:rPr>
        <w:t xml:space="preserve">nitial and </w:t>
      </w:r>
      <w:r w:rsidR="0098261F" w:rsidRPr="002E2A00">
        <w:t>ongoing</w:t>
      </w:r>
      <w:r w:rsidR="0098261F">
        <w:rPr>
          <w:u w:color="000000"/>
        </w:rPr>
        <w:t xml:space="preserve"> CDD</w:t>
      </w:r>
      <w:r>
        <w:rPr>
          <w:u w:color="000000"/>
        </w:rPr>
        <w:t xml:space="preserve"> (R.10</w:t>
      </w:r>
      <w:r w:rsidR="006A3862">
        <w:rPr>
          <w:u w:color="000000"/>
        </w:rPr>
        <w:t xml:space="preserve"> and 22</w:t>
      </w:r>
      <w:r>
        <w:rPr>
          <w:u w:color="000000"/>
        </w:rPr>
        <w:t>)</w:t>
      </w:r>
      <w:bookmarkEnd w:id="225"/>
    </w:p>
    <w:p w14:paraId="1A5D9D4F" w14:textId="5A3841F6" w:rsidR="0098261F" w:rsidRDefault="0098261F" w:rsidP="002E2A00">
      <w:pPr>
        <w:pStyle w:val="Para"/>
      </w:pPr>
      <w:r>
        <w:t xml:space="preserve">TCSPs should design CDD procedures </w:t>
      </w:r>
      <w:r w:rsidRPr="0076153C">
        <w:t>to</w:t>
      </w:r>
      <w:r w:rsidRPr="00927E84">
        <w:t xml:space="preserve"> </w:t>
      </w:r>
      <w:r w:rsidRPr="0076153C">
        <w:t>enable</w:t>
      </w:r>
      <w:r w:rsidRPr="00927E84">
        <w:t xml:space="preserve"> </w:t>
      </w:r>
      <w:r>
        <w:t xml:space="preserve">them </w:t>
      </w:r>
      <w:r w:rsidRPr="0076153C">
        <w:t>to</w:t>
      </w:r>
      <w:r w:rsidRPr="00927E84">
        <w:t xml:space="preserve"> </w:t>
      </w:r>
      <w:r w:rsidRPr="0076153C">
        <w:t>form</w:t>
      </w:r>
      <w:r w:rsidRPr="00927E84">
        <w:t xml:space="preserve"> </w:t>
      </w:r>
      <w:r w:rsidRPr="0076153C">
        <w:t>a reasonable</w:t>
      </w:r>
      <w:r w:rsidRPr="00927E84">
        <w:t xml:space="preserve"> </w:t>
      </w:r>
      <w:r w:rsidR="00B3472F">
        <w:t>certainty</w:t>
      </w:r>
      <w:r w:rsidR="00B3472F" w:rsidRPr="00927E84">
        <w:t xml:space="preserve"> </w:t>
      </w:r>
      <w:r w:rsidRPr="0076153C">
        <w:t>that</w:t>
      </w:r>
      <w:r w:rsidRPr="00927E84">
        <w:t xml:space="preserve"> </w:t>
      </w:r>
      <w:r>
        <w:t>t</w:t>
      </w:r>
      <w:r w:rsidRPr="0076153C">
        <w:t>he</w:t>
      </w:r>
      <w:r>
        <w:t>y</w:t>
      </w:r>
      <w:r w:rsidRPr="00927E84">
        <w:t xml:space="preserve"> </w:t>
      </w:r>
      <w:r w:rsidRPr="0076153C">
        <w:t>know</w:t>
      </w:r>
      <w:r w:rsidRPr="00927E84">
        <w:t xml:space="preserve"> </w:t>
      </w:r>
      <w:r w:rsidRPr="002E2A00">
        <w:t>the</w:t>
      </w:r>
      <w:r w:rsidRPr="00927E84">
        <w:t xml:space="preserve"> </w:t>
      </w:r>
      <w:r w:rsidRPr="0076153C">
        <w:t>true</w:t>
      </w:r>
      <w:r w:rsidRPr="00927E84">
        <w:t xml:space="preserve"> </w:t>
      </w:r>
      <w:r w:rsidRPr="0076153C">
        <w:t>identi</w:t>
      </w:r>
      <w:r w:rsidRPr="00927E84">
        <w:t>t</w:t>
      </w:r>
      <w:r w:rsidRPr="0076153C">
        <w:t>y</w:t>
      </w:r>
      <w:r w:rsidRPr="00927E84">
        <w:t xml:space="preserve"> </w:t>
      </w:r>
      <w:r w:rsidRPr="0076153C">
        <w:t>of</w:t>
      </w:r>
      <w:r w:rsidRPr="00927E84">
        <w:t xml:space="preserve"> </w:t>
      </w:r>
      <w:r>
        <w:t>the relevant beneficial owners of, or natural persons who actually exercise effective control</w:t>
      </w:r>
      <w:r w:rsidRPr="00927E84">
        <w:t xml:space="preserve"> </w:t>
      </w:r>
      <w:r>
        <w:t xml:space="preserve">over, the trust, company or other legal entity </w:t>
      </w:r>
      <w:r w:rsidRPr="0076153C">
        <w:t>and,</w:t>
      </w:r>
      <w:r w:rsidRPr="00927E84">
        <w:t xml:space="preserve"> </w:t>
      </w:r>
      <w:r w:rsidRPr="0076153C">
        <w:t>wi</w:t>
      </w:r>
      <w:r w:rsidRPr="00927E84">
        <w:t>t</w:t>
      </w:r>
      <w:r w:rsidRPr="0076153C">
        <w:t>h</w:t>
      </w:r>
      <w:r w:rsidRPr="00927E84">
        <w:t xml:space="preserve"> </w:t>
      </w:r>
      <w:r w:rsidRPr="0076153C">
        <w:t>an</w:t>
      </w:r>
      <w:r w:rsidRPr="00927E84">
        <w:t xml:space="preserve"> </w:t>
      </w:r>
      <w:r w:rsidRPr="0076153C">
        <w:t>appropriate degree</w:t>
      </w:r>
      <w:r w:rsidRPr="00927E84">
        <w:t xml:space="preserve"> </w:t>
      </w:r>
      <w:r w:rsidRPr="0076153C">
        <w:t>of confidence, know</w:t>
      </w:r>
      <w:r w:rsidRPr="00927E84">
        <w:t xml:space="preserve"> </w:t>
      </w:r>
      <w:r w:rsidRPr="0076153C">
        <w:t>the</w:t>
      </w:r>
      <w:r w:rsidRPr="00927E84">
        <w:t xml:space="preserve"> </w:t>
      </w:r>
      <w:r>
        <w:t xml:space="preserve">true purpose behind the establishment or use of </w:t>
      </w:r>
      <w:r w:rsidRPr="0076153C">
        <w:t>the</w:t>
      </w:r>
      <w:r w:rsidRPr="00927E84">
        <w:t xml:space="preserve"> </w:t>
      </w:r>
      <w:r>
        <w:t>trust, company or other legal entity</w:t>
      </w:r>
      <w:r w:rsidRPr="0076153C">
        <w:t>.</w:t>
      </w:r>
      <w:r w:rsidRPr="00927E84">
        <w:t xml:space="preserve"> </w:t>
      </w:r>
      <w:r w:rsidR="00734463">
        <w:t>TCSP</w:t>
      </w:r>
      <w:r>
        <w:t>s</w:t>
      </w:r>
      <w:r w:rsidR="00734463">
        <w:t xml:space="preserve">’ </w:t>
      </w:r>
      <w:r w:rsidRPr="0076153C">
        <w:t>procedures</w:t>
      </w:r>
      <w:r w:rsidRPr="00927E84">
        <w:t xml:space="preserve"> </w:t>
      </w:r>
      <w:r w:rsidRPr="0076153C">
        <w:t>should</w:t>
      </w:r>
      <w:r w:rsidRPr="00927E84">
        <w:t xml:space="preserve"> in</w:t>
      </w:r>
      <w:r w:rsidRPr="0076153C">
        <w:t>clude</w:t>
      </w:r>
      <w:r w:rsidRPr="00927E84">
        <w:t xml:space="preserve"> </w:t>
      </w:r>
      <w:r w:rsidRPr="0076153C">
        <w:t>procedures</w:t>
      </w:r>
      <w:r>
        <w:t>:</w:t>
      </w:r>
    </w:p>
    <w:p w14:paraId="14689760" w14:textId="77777777" w:rsidR="0098261F" w:rsidRPr="00E926AF" w:rsidRDefault="0098261F" w:rsidP="00533ED1">
      <w:pPr>
        <w:pStyle w:val="BulletedList"/>
        <w:numPr>
          <w:ilvl w:val="0"/>
          <w:numId w:val="146"/>
        </w:numPr>
      </w:pPr>
      <w:r>
        <w:t>For i</w:t>
      </w:r>
      <w:r w:rsidRPr="00E926AF">
        <w:t>dentify</w:t>
      </w:r>
      <w:r>
        <w:t>ing</w:t>
      </w:r>
      <w:r w:rsidRPr="00E926AF">
        <w:t xml:space="preserve"> the client and verifying that client’s identity using reliable, independent source documents, data or information.</w:t>
      </w:r>
    </w:p>
    <w:p w14:paraId="61C6B6C6" w14:textId="7D64746A" w:rsidR="00D94698" w:rsidRDefault="00452222" w:rsidP="00533ED1">
      <w:pPr>
        <w:pStyle w:val="BulletedList"/>
        <w:numPr>
          <w:ilvl w:val="0"/>
          <w:numId w:val="146"/>
        </w:numPr>
      </w:pPr>
      <w:r>
        <w:t xml:space="preserve">For </w:t>
      </w:r>
      <w:r w:rsidR="0098261F">
        <w:t xml:space="preserve">identifying the relevant beneficial owners and natural persons who actually exercise control as set out in Annex </w:t>
      </w:r>
      <w:r w:rsidR="009F7D77">
        <w:t>1</w:t>
      </w:r>
      <w:r w:rsidR="009F7D77" w:rsidRPr="0076153C" w:rsidDel="008028E8">
        <w:t xml:space="preserve"> </w:t>
      </w:r>
      <w:r w:rsidR="0098261F" w:rsidRPr="0076153C">
        <w:t>a</w:t>
      </w:r>
      <w:r w:rsidR="0098261F" w:rsidRPr="00927E84">
        <w:t>n</w:t>
      </w:r>
      <w:r w:rsidR="0098261F" w:rsidRPr="0076153C">
        <w:t>d</w:t>
      </w:r>
      <w:r w:rsidR="0098261F" w:rsidRPr="00927E84">
        <w:t xml:space="preserve"> </w:t>
      </w:r>
      <w:r w:rsidR="0098261F" w:rsidRPr="0076153C">
        <w:t>taking</w:t>
      </w:r>
      <w:r w:rsidR="0098261F" w:rsidRPr="00927E84">
        <w:t xml:space="preserve"> </w:t>
      </w:r>
      <w:r w:rsidR="0098261F" w:rsidRPr="0076153C">
        <w:t>reason</w:t>
      </w:r>
      <w:r w:rsidR="0098261F" w:rsidRPr="00927E84">
        <w:t>a</w:t>
      </w:r>
      <w:r w:rsidR="0098261F" w:rsidRPr="0076153C">
        <w:t xml:space="preserve">ble </w:t>
      </w:r>
      <w:r w:rsidR="0098261F" w:rsidRPr="00927E84">
        <w:t>m</w:t>
      </w:r>
      <w:r w:rsidR="0098261F" w:rsidRPr="0076153C">
        <w:t>e</w:t>
      </w:r>
      <w:r w:rsidR="0098261F" w:rsidRPr="00927E84">
        <w:t>a</w:t>
      </w:r>
      <w:r w:rsidR="0098261F" w:rsidRPr="0076153C">
        <w:t>sures</w:t>
      </w:r>
      <w:r w:rsidR="0098261F" w:rsidRPr="00927E84">
        <w:t xml:space="preserve"> </w:t>
      </w:r>
      <w:r w:rsidR="0098261F" w:rsidRPr="0076153C">
        <w:t>to</w:t>
      </w:r>
      <w:r w:rsidR="0098261F" w:rsidRPr="00927E84">
        <w:t xml:space="preserve"> </w:t>
      </w:r>
      <w:r w:rsidR="0098261F" w:rsidRPr="0076153C">
        <w:t>verify</w:t>
      </w:r>
      <w:r w:rsidR="0098261F" w:rsidRPr="00927E84">
        <w:t xml:space="preserve"> </w:t>
      </w:r>
      <w:r w:rsidR="0098261F" w:rsidRPr="0076153C">
        <w:t>the</w:t>
      </w:r>
      <w:r w:rsidR="0098261F" w:rsidRPr="00927E84">
        <w:t xml:space="preserve"> </w:t>
      </w:r>
      <w:r w:rsidR="0098261F" w:rsidRPr="0076153C">
        <w:t>identity</w:t>
      </w:r>
      <w:r w:rsidR="0098261F" w:rsidRPr="00927E84">
        <w:t xml:space="preserve"> </w:t>
      </w:r>
      <w:r w:rsidR="0098261F" w:rsidRPr="0076153C">
        <w:t>of</w:t>
      </w:r>
      <w:r w:rsidR="0098261F" w:rsidRPr="00927E84">
        <w:t xml:space="preserve"> </w:t>
      </w:r>
      <w:r w:rsidR="0098261F" w:rsidRPr="0076153C">
        <w:t>such</w:t>
      </w:r>
      <w:r w:rsidR="0098261F" w:rsidRPr="00927E84">
        <w:t xml:space="preserve"> </w:t>
      </w:r>
      <w:r w:rsidR="0098261F" w:rsidRPr="0076153C">
        <w:t>person</w:t>
      </w:r>
      <w:r w:rsidR="0098261F" w:rsidRPr="00927E84">
        <w:t>s</w:t>
      </w:r>
      <w:r w:rsidR="0098261F">
        <w:t xml:space="preserve"> (i</w:t>
      </w:r>
      <w:r w:rsidR="00483E41">
        <w:t>.</w:t>
      </w:r>
      <w:r w:rsidR="0098261F">
        <w:t>e</w:t>
      </w:r>
      <w:r w:rsidR="00483E41">
        <w:t>.</w:t>
      </w:r>
      <w:r w:rsidR="0098261F">
        <w:t xml:space="preserve"> on a risk-based approach)</w:t>
      </w:r>
      <w:r w:rsidR="00297857">
        <w:t>.</w:t>
      </w:r>
      <w:r w:rsidR="00D94698">
        <w:t xml:space="preserve"> This is articulated in the following box:</w:t>
      </w:r>
    </w:p>
    <w:p w14:paraId="6EBE2A58" w14:textId="77777777" w:rsidR="00E910B8" w:rsidRDefault="00E910B8" w:rsidP="00E910B8">
      <w:pPr>
        <w:pStyle w:val="BulletedList"/>
        <w:numPr>
          <w:ilvl w:val="0"/>
          <w:numId w:val="0"/>
        </w:numPr>
      </w:pPr>
    </w:p>
    <w:tbl>
      <w:tblPr>
        <w:tblW w:w="5000" w:type="pct"/>
        <w:jc w:val="center"/>
        <w:tblBorders>
          <w:top w:val="single" w:sz="4" w:space="0" w:color="auto"/>
          <w:left w:val="single" w:sz="4" w:space="0" w:color="auto"/>
          <w:bottom w:val="single" w:sz="4" w:space="0" w:color="auto"/>
          <w:right w:val="single" w:sz="4" w:space="0" w:color="auto"/>
        </w:tblBorders>
        <w:shd w:val="clear" w:color="auto" w:fill="EDF0F7"/>
        <w:tblCellMar>
          <w:left w:w="0" w:type="dxa"/>
          <w:bottom w:w="142" w:type="dxa"/>
          <w:right w:w="0" w:type="dxa"/>
        </w:tblCellMar>
        <w:tblLook w:val="0000" w:firstRow="0" w:lastRow="0" w:firstColumn="0" w:lastColumn="0" w:noHBand="0" w:noVBand="0"/>
      </w:tblPr>
      <w:tblGrid>
        <w:gridCol w:w="9289"/>
      </w:tblGrid>
      <w:tr w:rsidR="002E2A00" w:rsidRPr="00961F86" w14:paraId="6CB4E9F9" w14:textId="77777777" w:rsidTr="002E2A00">
        <w:trPr>
          <w:jc w:val="center"/>
        </w:trPr>
        <w:tc>
          <w:tcPr>
            <w:tcW w:w="5000" w:type="pct"/>
            <w:shd w:val="clear" w:color="auto" w:fill="EDF0F7"/>
          </w:tcPr>
          <w:p w14:paraId="64350DA6" w14:textId="279B5138" w:rsidR="002E2A00" w:rsidRPr="00C45F4D" w:rsidRDefault="002E2A00" w:rsidP="002E2A00">
            <w:pPr>
              <w:pStyle w:val="Caption"/>
              <w:keepNext w:val="0"/>
            </w:pPr>
            <w:r w:rsidRPr="00C45F4D">
              <w:lastRenderedPageBreak/>
              <w:t>Box</w:t>
            </w:r>
            <w:r>
              <w:t> </w:t>
            </w:r>
            <w:r w:rsidR="00896263">
              <w:t>2</w:t>
            </w:r>
            <w:r w:rsidRPr="00C45F4D">
              <w:t xml:space="preserve">. </w:t>
            </w:r>
            <w:r w:rsidRPr="002E2A00">
              <w:t>Beneficial ownership information obligations (see R.10 and INR.10)</w:t>
            </w:r>
          </w:p>
          <w:p w14:paraId="4593E1A0" w14:textId="77777777" w:rsidR="00206303" w:rsidRDefault="00206303" w:rsidP="00206303">
            <w:pPr>
              <w:pStyle w:val="Para0"/>
            </w:pPr>
            <w:r w:rsidRPr="008A2DEA">
              <w:t xml:space="preserve">R.10 sets out the instances where </w:t>
            </w:r>
            <w:r>
              <w:t>TCSPs</w:t>
            </w:r>
            <w:r w:rsidRPr="008A2DEA">
              <w:t xml:space="preserve"> will be required to take steps to identify and verify beneficial owners, including when there is a suspicion of ML</w:t>
            </w:r>
            <w:r>
              <w:t>/TF</w:t>
            </w:r>
            <w:r w:rsidRPr="008A2DEA">
              <w:t>, when establishing business relations, or where there are doubts about the veracity of previously provided information. INR.10 indicates that the purpose of this requirement is two</w:t>
            </w:r>
            <w:r>
              <w:t>-</w:t>
            </w:r>
            <w:r w:rsidRPr="008A2DEA">
              <w:t xml:space="preserve">fold: first, to prevent the unlawful use of legal persons and arrangements, by gaining a sufficient understanding of the client to be able to properly assess the potential ML/TF risks associated with the business relationship; and, second, to take appropriate steps to mitigate the risks. </w:t>
            </w:r>
            <w:r>
              <w:t>TCSPs</w:t>
            </w:r>
            <w:r w:rsidRPr="008A2DEA">
              <w:t xml:space="preserve"> should have regard to these purposes when assessing what steps are reasonable to take to verify beneficial ownership, commensurate with the level of risk. </w:t>
            </w:r>
            <w:r>
              <w:t>TCSPs</w:t>
            </w:r>
            <w:r w:rsidRPr="008A2DEA">
              <w:t xml:space="preserve"> should also have regard to the AML/CFT 2013 Methodology Criteria 10.5 and 10.8-10.12.</w:t>
            </w:r>
          </w:p>
          <w:p w14:paraId="554384E6" w14:textId="77777777" w:rsidR="00206303" w:rsidRDefault="00206303" w:rsidP="00A404A5">
            <w:pPr>
              <w:pStyle w:val="Para0"/>
              <w:spacing w:line="228" w:lineRule="auto"/>
            </w:pPr>
            <w:r>
              <w:t>At the outset of determining beneficial ownership, steps should be taken to identify how the immediate client can be identified. TCSPs can verify the identity of a client by, for example meeting the client in person and then verifying their identity through the production of a passport/identity card and documentation confirming his/her address. TCSPs can further verify the identity of a client on the basis of documentation or information obtained from reliable, publicly available sources (which are independent of the client).</w:t>
            </w:r>
          </w:p>
          <w:p w14:paraId="1A4E5A3A" w14:textId="77777777" w:rsidR="00206303" w:rsidRDefault="00206303" w:rsidP="00A404A5">
            <w:pPr>
              <w:pStyle w:val="Para0"/>
              <w:spacing w:line="228" w:lineRule="auto"/>
            </w:pPr>
            <w:r>
              <w:t>A more difficult situation arises where there is a beneficial owner who is not the immediate client (e.g. in the case of companies and other entities). In such a scenario reasonable steps must be taken so that the TCSP is satisfied about the identity of the beneficial owner and takes reasonable measures to verify the beneficial owner’s identity. This likely requires taking steps to understand the ownership and control of a separate legal entity that is the client that may be through public searches as well as by seeking information directly from the client. TCSPs will likely need to obtain the following information for a client that is a legal entity:</w:t>
            </w:r>
          </w:p>
          <w:p w14:paraId="4AE82169" w14:textId="77777777" w:rsidR="00206303" w:rsidRPr="00064106" w:rsidRDefault="00206303" w:rsidP="00533ED1">
            <w:pPr>
              <w:pStyle w:val="BulletedList"/>
              <w:numPr>
                <w:ilvl w:val="0"/>
                <w:numId w:val="147"/>
              </w:numPr>
              <w:spacing w:after="0"/>
            </w:pPr>
            <w:r w:rsidRPr="00064106">
              <w:t>the name of the company;</w:t>
            </w:r>
          </w:p>
          <w:p w14:paraId="465697C7" w14:textId="77777777" w:rsidR="00206303" w:rsidRPr="00064106" w:rsidRDefault="00206303" w:rsidP="00533ED1">
            <w:pPr>
              <w:pStyle w:val="BulletedList"/>
              <w:numPr>
                <w:ilvl w:val="0"/>
                <w:numId w:val="147"/>
              </w:numPr>
              <w:spacing w:after="0"/>
            </w:pPr>
            <w:r w:rsidRPr="00064106">
              <w:t>the company registration number;</w:t>
            </w:r>
          </w:p>
          <w:p w14:paraId="030996F2" w14:textId="77777777" w:rsidR="00206303" w:rsidRPr="00064106" w:rsidRDefault="00206303" w:rsidP="00533ED1">
            <w:pPr>
              <w:pStyle w:val="BulletedList"/>
              <w:numPr>
                <w:ilvl w:val="0"/>
                <w:numId w:val="147"/>
              </w:numPr>
              <w:spacing w:after="0"/>
            </w:pPr>
            <w:r w:rsidRPr="00D6427C">
              <w:t xml:space="preserve">the registered address </w:t>
            </w:r>
            <w:r>
              <w:t xml:space="preserve">and/ </w:t>
            </w:r>
            <w:r w:rsidRPr="00D6427C">
              <w:t>or principal place of business</w:t>
            </w:r>
            <w:r>
              <w:t xml:space="preserve"> (if different)</w:t>
            </w:r>
            <w:r w:rsidRPr="00D6427C">
              <w:t>;</w:t>
            </w:r>
          </w:p>
          <w:p w14:paraId="21F079BD" w14:textId="77777777" w:rsidR="00206303" w:rsidRPr="00064106" w:rsidRDefault="00206303" w:rsidP="00533ED1">
            <w:pPr>
              <w:pStyle w:val="BulletedList"/>
              <w:numPr>
                <w:ilvl w:val="0"/>
                <w:numId w:val="147"/>
              </w:numPr>
              <w:spacing w:after="0"/>
            </w:pPr>
            <w:r w:rsidRPr="00064106">
              <w:t>the identity of shareholders and their percentage ownership;</w:t>
            </w:r>
          </w:p>
          <w:p w14:paraId="217B0781" w14:textId="77777777" w:rsidR="00206303" w:rsidRPr="00064106" w:rsidRDefault="00206303" w:rsidP="00533ED1">
            <w:pPr>
              <w:pStyle w:val="BulletedList"/>
              <w:numPr>
                <w:ilvl w:val="0"/>
                <w:numId w:val="147"/>
              </w:numPr>
              <w:spacing w:after="0"/>
            </w:pPr>
            <w:r w:rsidRPr="00064106">
              <w:t>names of the board of directors or senior individuals responsible for the</w:t>
            </w:r>
            <w:r>
              <w:t xml:space="preserve"> </w:t>
            </w:r>
            <w:r w:rsidRPr="00064106">
              <w:t>company’s operations; and</w:t>
            </w:r>
          </w:p>
          <w:p w14:paraId="07DBA10E" w14:textId="77777777" w:rsidR="00206303" w:rsidRPr="00064106" w:rsidRDefault="00206303" w:rsidP="00533ED1">
            <w:pPr>
              <w:pStyle w:val="BulletedList"/>
              <w:numPr>
                <w:ilvl w:val="0"/>
                <w:numId w:val="147"/>
              </w:numPr>
              <w:spacing w:after="0"/>
            </w:pPr>
            <w:r w:rsidRPr="00064106">
              <w:t>the law to which the company is subject and its constitution; and</w:t>
            </w:r>
          </w:p>
          <w:p w14:paraId="0FBE4A9D" w14:textId="77777777" w:rsidR="00206303" w:rsidRPr="00064106" w:rsidRDefault="00206303" w:rsidP="00533ED1">
            <w:pPr>
              <w:pStyle w:val="BulletedList"/>
              <w:numPr>
                <w:ilvl w:val="0"/>
                <w:numId w:val="147"/>
              </w:numPr>
              <w:spacing w:after="0"/>
            </w:pPr>
            <w:r w:rsidRPr="00D6427C">
              <w:t xml:space="preserve">the </w:t>
            </w:r>
            <w:r>
              <w:t xml:space="preserve">types of activities and </w:t>
            </w:r>
            <w:r w:rsidRPr="00D6427C">
              <w:t xml:space="preserve">transactions </w:t>
            </w:r>
            <w:r>
              <w:t>in which</w:t>
            </w:r>
            <w:r w:rsidRPr="00064106">
              <w:t xml:space="preserve"> the company engages in.</w:t>
            </w:r>
          </w:p>
          <w:p w14:paraId="1241292D" w14:textId="77777777" w:rsidR="00206303" w:rsidRPr="00064106" w:rsidRDefault="00206303" w:rsidP="00206303">
            <w:pPr>
              <w:pStyle w:val="Para0"/>
            </w:pPr>
            <w:r>
              <w:t xml:space="preserve">To </w:t>
            </w:r>
            <w:r w:rsidRPr="00206303">
              <w:t>verify the information listed above, TCSP may use sources such as the following:</w:t>
            </w:r>
          </w:p>
          <w:p w14:paraId="68D56967" w14:textId="77777777" w:rsidR="00206303" w:rsidRPr="00064106" w:rsidRDefault="00206303" w:rsidP="00533ED1">
            <w:pPr>
              <w:pStyle w:val="BulletedList"/>
              <w:numPr>
                <w:ilvl w:val="0"/>
                <w:numId w:val="148"/>
              </w:numPr>
              <w:spacing w:after="0"/>
            </w:pPr>
            <w:r w:rsidRPr="00064106">
              <w:t>constitutional documents (such as a certificate of incorporation</w:t>
            </w:r>
            <w:r>
              <w:t>, memorandum and articles of incorporation/association</w:t>
            </w:r>
            <w:r w:rsidRPr="00064106">
              <w:t>);</w:t>
            </w:r>
          </w:p>
          <w:p w14:paraId="5E398E40" w14:textId="77777777" w:rsidR="00206303" w:rsidRPr="00064106" w:rsidRDefault="00206303" w:rsidP="00533ED1">
            <w:pPr>
              <w:pStyle w:val="BulletedList"/>
              <w:numPr>
                <w:ilvl w:val="0"/>
                <w:numId w:val="148"/>
              </w:numPr>
              <w:spacing w:after="0"/>
            </w:pPr>
            <w:r w:rsidRPr="00064106">
              <w:t>details from company registers; and</w:t>
            </w:r>
          </w:p>
          <w:p w14:paraId="6113146D" w14:textId="77777777" w:rsidR="00206303" w:rsidRDefault="00206303" w:rsidP="00533ED1">
            <w:pPr>
              <w:pStyle w:val="BulletedList"/>
              <w:numPr>
                <w:ilvl w:val="0"/>
                <w:numId w:val="148"/>
              </w:numPr>
              <w:spacing w:after="0"/>
            </w:pPr>
            <w:r w:rsidRPr="003A554B">
              <w:t xml:space="preserve">shareholder agreement or other agreements between shareholders concerning control of the legal person; </w:t>
            </w:r>
          </w:p>
          <w:p w14:paraId="34037802" w14:textId="77777777" w:rsidR="00206303" w:rsidRPr="003A554B" w:rsidRDefault="00206303" w:rsidP="00533ED1">
            <w:pPr>
              <w:pStyle w:val="BulletedList"/>
              <w:numPr>
                <w:ilvl w:val="0"/>
                <w:numId w:val="148"/>
              </w:numPr>
              <w:spacing w:after="0"/>
            </w:pPr>
            <w:r w:rsidRPr="003A554B">
              <w:t>filed audited accounts.</w:t>
            </w:r>
          </w:p>
          <w:p w14:paraId="041FB979" w14:textId="77777777" w:rsidR="00206303" w:rsidRPr="00064106" w:rsidRDefault="00206303" w:rsidP="00206303">
            <w:pPr>
              <w:pStyle w:val="Para0"/>
            </w:pPr>
            <w:r w:rsidRPr="00064106">
              <w:t xml:space="preserve">TCSPs </w:t>
            </w:r>
            <w:r>
              <w:t xml:space="preserve">should adopt a RBA </w:t>
            </w:r>
            <w:r w:rsidRPr="00064106">
              <w:t xml:space="preserve">to identify beneficial owners of </w:t>
            </w:r>
            <w:r>
              <w:t>an entity</w:t>
            </w:r>
            <w:r w:rsidRPr="00064106">
              <w:t xml:space="preserve">. It is often necessary to use a combination of public sources and to seek further confirmation from the immediate </w:t>
            </w:r>
            <w:r w:rsidRPr="00064106">
              <w:lastRenderedPageBreak/>
              <w:t>client that information from public sources is correct and up-to-date or to ask for additional documentation that confirms the beneficial ownership and company structure.</w:t>
            </w:r>
          </w:p>
          <w:p w14:paraId="1DA8B859" w14:textId="039D46C0" w:rsidR="002E2A00" w:rsidRPr="00961F86" w:rsidRDefault="00206303" w:rsidP="00A404A5">
            <w:pPr>
              <w:pStyle w:val="Para0"/>
              <w:spacing w:after="0"/>
            </w:pPr>
            <w:r w:rsidRPr="00064106">
              <w:t>The obligation to identify beneficial ownership does not end with identifying the first level of ownership, but requires steps to be taken to identify the beneficial ownership at each level of the corporate structure until an ultimate beneficial owner is identified. This requires the same process of identifying and verifying information in relation to legal entities and natural persons at each level of a corporate structure.</w:t>
            </w:r>
          </w:p>
        </w:tc>
      </w:tr>
    </w:tbl>
    <w:p w14:paraId="5F927E15" w14:textId="3928E14E" w:rsidR="0098261F" w:rsidRPr="000F44BA" w:rsidRDefault="00290FC1" w:rsidP="00533ED1">
      <w:pPr>
        <w:pStyle w:val="BulletedList"/>
        <w:numPr>
          <w:ilvl w:val="0"/>
          <w:numId w:val="149"/>
        </w:numPr>
        <w:spacing w:before="120" w:line="228" w:lineRule="auto"/>
      </w:pPr>
      <w:r>
        <w:lastRenderedPageBreak/>
        <w:t xml:space="preserve">Enabling </w:t>
      </w:r>
      <w:r w:rsidR="0098261F">
        <w:t>the TCSP to understand and, as appropriate, obtain information on the purpose and intended purpose of the trust, company or other legal entity</w:t>
      </w:r>
      <w:r w:rsidR="0098261F" w:rsidRPr="00927E84">
        <w:t xml:space="preserve">. </w:t>
      </w:r>
    </w:p>
    <w:p w14:paraId="13743888" w14:textId="0533CFF6" w:rsidR="00412998" w:rsidRPr="00197C11" w:rsidRDefault="00290FC1" w:rsidP="00533ED1">
      <w:pPr>
        <w:pStyle w:val="BulletedList"/>
        <w:numPr>
          <w:ilvl w:val="0"/>
          <w:numId w:val="149"/>
        </w:numPr>
        <w:spacing w:line="228" w:lineRule="auto"/>
      </w:pPr>
      <w:r>
        <w:t xml:space="preserve">Conducting </w:t>
      </w:r>
      <w:r w:rsidR="0098261F">
        <w:t xml:space="preserve">ongoing due diligence on the business relationship. </w:t>
      </w:r>
      <w:r w:rsidR="00F75806">
        <w:t xml:space="preserve">Ongoing due diligence ensures that the documents, date or information collected under the CDD process is kept up-to-date and relevant by undertaking reviews of existing records, particularly for higher-risk categories of </w:t>
      </w:r>
      <w:r w:rsidR="000A2820">
        <w:t>clients</w:t>
      </w:r>
      <w:r w:rsidR="00412998">
        <w:t>.</w:t>
      </w:r>
      <w:r w:rsidR="0044699B" w:rsidRPr="0044699B">
        <w:t xml:space="preserve"> </w:t>
      </w:r>
      <w:r w:rsidR="0044699B">
        <w:t>Undertaking appropriate CDD also allows the accurate filing of STRs to FIU, or to respond to requests for information from FIU and law enforcement</w:t>
      </w:r>
    </w:p>
    <w:p w14:paraId="043AAE1B" w14:textId="044C707D" w:rsidR="0098261F" w:rsidRPr="00F53CA5" w:rsidRDefault="00734463" w:rsidP="00F53CA5">
      <w:pPr>
        <w:pStyle w:val="Para"/>
      </w:pPr>
      <w:r w:rsidRPr="00F53CA5">
        <w:t xml:space="preserve">Where risks are higher, </w:t>
      </w:r>
      <w:r w:rsidR="0098261F" w:rsidRPr="00F53CA5">
        <w:t>TCSP</w:t>
      </w:r>
      <w:r w:rsidR="00E81D8A" w:rsidRPr="00F53CA5">
        <w:t>s</w:t>
      </w:r>
      <w:r w:rsidR="0098261F" w:rsidRPr="00F53CA5">
        <w:t xml:space="preserve"> should obtain info</w:t>
      </w:r>
      <w:r w:rsidR="00024324" w:rsidRPr="00F53CA5">
        <w:t>rmation</w:t>
      </w:r>
      <w:r w:rsidR="0098261F" w:rsidRPr="00F53CA5">
        <w:t xml:space="preserve"> about the source of funds in the trust, company or other legal entity and source of wealth in relation to the settlor or beneficial owner.</w:t>
      </w:r>
    </w:p>
    <w:p w14:paraId="34001559" w14:textId="6845558E" w:rsidR="00A57774" w:rsidRPr="00F53CA5" w:rsidRDefault="00A57774" w:rsidP="00F53CA5">
      <w:pPr>
        <w:pStyle w:val="Para"/>
      </w:pPr>
      <w:r w:rsidRPr="00F53CA5">
        <w:t xml:space="preserve">TCSPs should design their policies and procedures so that the level of CDD addresses the risk of the trust, company or other legal entity with respect to which services are being provided by the TCSP being used for ML/TF. TCSPs should design a standard level of due diligence for normal risk clients and a reduced or simplified CDD process for low risk clients. </w:t>
      </w:r>
      <w:r w:rsidR="00474ED7" w:rsidRPr="00F53CA5">
        <w:t xml:space="preserve">Simplified CDD measures are not acceptable whenever there is a suspicion of ML/TF or where specific higher-risk scenarios apply. </w:t>
      </w:r>
      <w:r w:rsidRPr="00F53CA5">
        <w:t xml:space="preserve">Enhanced due diligence should be applied to those clients that the TCSP has assessed as high risk. These activities may be carried out in conjunction with the TCSP’s normal acceptance procedures, and will take into account any specific jurisdictional requirements for CDD in relation to the trust, company or other legal entity and any trustee, settlor, protector, beneficial owner or other natural person exercising effecting control over the trust, company or other legal entity. </w:t>
      </w:r>
    </w:p>
    <w:p w14:paraId="023FD093" w14:textId="77777777" w:rsidR="00A57774" w:rsidRPr="00F53CA5" w:rsidRDefault="00A57774" w:rsidP="00F53CA5">
      <w:pPr>
        <w:pStyle w:val="Para"/>
      </w:pPr>
      <w:r w:rsidRPr="00F53CA5">
        <w:t>In the normal course of their work, TCSPs are likely to learn more about some aspects of the trust, company or other legal entity, and the trustee, settlor, protector, beneficial owners or other natural persons exercising effective control, than other advisors. This information is likely to help the TCSP dynamically assess the ML/TF risk.</w:t>
      </w:r>
    </w:p>
    <w:p w14:paraId="02DCF6CC" w14:textId="47DFC767" w:rsidR="0098261F" w:rsidRPr="00F53CA5" w:rsidRDefault="0098261F" w:rsidP="00F53CA5">
      <w:pPr>
        <w:pStyle w:val="Para"/>
      </w:pPr>
      <w:r w:rsidRPr="00F53CA5">
        <w:t>Identification of any trustee, company or other legal entity, or of any settlor, beneficial owner or natural person exercising effective control should be reviewed (on an appropriate risk related basis) to ensure that changes in ownership or other factors have not resulted in a change in the nature of the structure, with a consequent need to review and update client identification and verification of identity documentation. This may be carried out in conjunction with any professional requirements for client continuation processes.</w:t>
      </w:r>
    </w:p>
    <w:p w14:paraId="71F49067" w14:textId="32E40AD9" w:rsidR="0098261F" w:rsidRPr="00F53CA5" w:rsidRDefault="0098261F" w:rsidP="00F53CA5">
      <w:pPr>
        <w:pStyle w:val="Para"/>
      </w:pPr>
      <w:r w:rsidRPr="00F53CA5">
        <w:t>Public information sources may assist with this ongoing review. The procedures that need to be carried out can vary, in accordance with the nature and purpose for which the entity exists, and the extent to which the underlying ownership differs from apparent ownership by the use of nominee shareholders and complex structures.</w:t>
      </w:r>
    </w:p>
    <w:p w14:paraId="47E0D7E4" w14:textId="4A8FD7CE" w:rsidR="00474ED7" w:rsidRDefault="00474ED7" w:rsidP="00E910B8">
      <w:pPr>
        <w:pStyle w:val="Para"/>
      </w:pPr>
      <w:r w:rsidRPr="00F53CA5">
        <w:t>The following box provides a non-exhaustive list of examples of standard, enhanced and simplified</w:t>
      </w:r>
      <w:r w:rsidR="00F5056B">
        <w:t xml:space="preserve"> CDD:</w:t>
      </w:r>
    </w:p>
    <w:tbl>
      <w:tblPr>
        <w:tblW w:w="5000" w:type="pct"/>
        <w:jc w:val="center"/>
        <w:tblBorders>
          <w:top w:val="single" w:sz="4" w:space="0" w:color="auto"/>
          <w:left w:val="single" w:sz="4" w:space="0" w:color="auto"/>
          <w:bottom w:val="single" w:sz="4" w:space="0" w:color="auto"/>
          <w:right w:val="single" w:sz="4" w:space="0" w:color="auto"/>
        </w:tblBorders>
        <w:shd w:val="clear" w:color="auto" w:fill="EDF0F7"/>
        <w:tblCellMar>
          <w:left w:w="0" w:type="dxa"/>
          <w:bottom w:w="142" w:type="dxa"/>
          <w:right w:w="0" w:type="dxa"/>
        </w:tblCellMar>
        <w:tblLook w:val="0000" w:firstRow="0" w:lastRow="0" w:firstColumn="0" w:lastColumn="0" w:noHBand="0" w:noVBand="0"/>
      </w:tblPr>
      <w:tblGrid>
        <w:gridCol w:w="9289"/>
      </w:tblGrid>
      <w:tr w:rsidR="00F5056B" w:rsidRPr="00961F86" w14:paraId="67CF4352" w14:textId="77777777" w:rsidTr="001D2D2C">
        <w:trPr>
          <w:jc w:val="center"/>
        </w:trPr>
        <w:tc>
          <w:tcPr>
            <w:tcW w:w="5000" w:type="pct"/>
            <w:shd w:val="clear" w:color="auto" w:fill="EDF0F7"/>
          </w:tcPr>
          <w:p w14:paraId="36D13632" w14:textId="17474653" w:rsidR="00F5056B" w:rsidRPr="00C45F4D" w:rsidRDefault="00F5056B" w:rsidP="001D2D2C">
            <w:pPr>
              <w:pStyle w:val="Caption"/>
              <w:keepNext w:val="0"/>
            </w:pPr>
            <w:r w:rsidRPr="00C45F4D">
              <w:lastRenderedPageBreak/>
              <w:t>Box</w:t>
            </w:r>
            <w:r>
              <w:t> 3</w:t>
            </w:r>
            <w:r w:rsidRPr="00C45F4D">
              <w:t xml:space="preserve">. </w:t>
            </w:r>
            <w:r w:rsidRPr="00F5056B">
              <w:t>Examples of Standard/Simplified/Enhanced CDD measures (see also INR.10)</w:t>
            </w:r>
          </w:p>
          <w:p w14:paraId="616EDF54" w14:textId="77777777" w:rsidR="00F5056B" w:rsidRPr="00C7345F" w:rsidRDefault="00F5056B" w:rsidP="00F5056B">
            <w:pPr>
              <w:pStyle w:val="Para0"/>
              <w:ind w:left="556" w:right="370" w:hanging="242"/>
              <w:rPr>
                <w:b/>
                <w:sz w:val="21"/>
                <w:szCs w:val="21"/>
              </w:rPr>
            </w:pPr>
            <w:r w:rsidRPr="00C7345F">
              <w:rPr>
                <w:b/>
                <w:sz w:val="21"/>
                <w:szCs w:val="21"/>
              </w:rPr>
              <w:t xml:space="preserve">Standard CDD </w:t>
            </w:r>
          </w:p>
          <w:p w14:paraId="757A72FA"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Identifying the client and verifying that client’s identity using reliable, independent source documents, data or information</w:t>
            </w:r>
          </w:p>
          <w:p w14:paraId="7599DC60"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Identifying the beneficial owner, and taking reasonable measures on a risk-sensitive basis to verify the identity of the beneficial owner, such that the TCSP is satisfied about the identity of beneficial owner. For legal persons and arrangements, this should include understanding the ownership and control structure of the client and gaining an understanding of the client’s source of wealth and source of funds, where required</w:t>
            </w:r>
          </w:p>
          <w:p w14:paraId="2AA83CF2"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Understanding and obtaining information on the purpose and intended nature of the business relationship</w:t>
            </w:r>
          </w:p>
          <w:p w14:paraId="1336E350"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Conducting ongoing due diligence on the business relationship and scrutiny of transactions undertaken throughout the course of that relationship to ensure that the transactions being conducted are consistent with the business and risk profile the client, including, where necessary, the source of wealth and funds</w:t>
            </w:r>
          </w:p>
          <w:p w14:paraId="3BBB2DE8" w14:textId="77777777" w:rsidR="00F5056B" w:rsidRPr="00C7345F" w:rsidRDefault="00F5056B" w:rsidP="00F5056B">
            <w:pPr>
              <w:pStyle w:val="Para0"/>
              <w:ind w:left="556" w:right="370" w:hanging="242"/>
              <w:rPr>
                <w:b/>
                <w:sz w:val="21"/>
                <w:szCs w:val="21"/>
              </w:rPr>
            </w:pPr>
            <w:r w:rsidRPr="00C7345F">
              <w:rPr>
                <w:b/>
                <w:sz w:val="21"/>
                <w:szCs w:val="21"/>
              </w:rPr>
              <w:t>Simplified CDD</w:t>
            </w:r>
          </w:p>
          <w:p w14:paraId="16DCFFD1"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Limiting the extent, type or timing of CDD measures</w:t>
            </w:r>
          </w:p>
          <w:p w14:paraId="374EA2EF"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Obtaining fewer elements of client identification data</w:t>
            </w:r>
          </w:p>
          <w:p w14:paraId="5ECD7287"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 xml:space="preserve">Altering the type of verification carried out on client’s identity </w:t>
            </w:r>
          </w:p>
          <w:p w14:paraId="0AAF9EBB"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 xml:space="preserve">Simplifying the verification carried out on client’s identity </w:t>
            </w:r>
          </w:p>
          <w:p w14:paraId="0E691ED0"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Inferring the purpose and nature of the transactions or business relationship established based on the type of transaction carried out or the relationship established</w:t>
            </w:r>
          </w:p>
          <w:p w14:paraId="71CFD1D9"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 xml:space="preserve">Verifying the identity of the client and the beneficial owner after the establishment of the business relationship </w:t>
            </w:r>
          </w:p>
          <w:p w14:paraId="4CB26C31"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Reducing the frequency of client identification updates in the case of a business relationship</w:t>
            </w:r>
          </w:p>
          <w:p w14:paraId="73ED5F1A"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Reducing the degree and extent of ongoing monitoring and scrutiny of transactions</w:t>
            </w:r>
          </w:p>
          <w:p w14:paraId="74665756" w14:textId="77777777" w:rsidR="00F5056B" w:rsidRPr="00C7345F" w:rsidRDefault="00F5056B" w:rsidP="00F5056B">
            <w:pPr>
              <w:pStyle w:val="Para0"/>
              <w:ind w:left="556" w:right="370" w:hanging="242"/>
              <w:rPr>
                <w:sz w:val="21"/>
                <w:szCs w:val="21"/>
              </w:rPr>
            </w:pPr>
            <w:r w:rsidRPr="00C7345F">
              <w:rPr>
                <w:b/>
                <w:sz w:val="21"/>
                <w:szCs w:val="21"/>
              </w:rPr>
              <w:t>Enhanced CDD</w:t>
            </w:r>
          </w:p>
          <w:p w14:paraId="153177DB"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Obtaining additional information on the trustee, settlor, beneficial owner or natural person exercising effective control of the trust, company or other legal entity (as described in Annex 1) (e.g. occupation, overall wealth, information available through public databases, internet), and updating more regularly the identification data of such persons and sources which can be regarded as credible</w:t>
            </w:r>
          </w:p>
          <w:p w14:paraId="25CFB88B"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Obtaining information on the reasons for intended or performed transactions carried out by the trust, company or other legal entity administered by the TCSP</w:t>
            </w:r>
          </w:p>
          <w:p w14:paraId="2CE777E0"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 xml:space="preserve">Obtaining additional information and, as appropriate, substantiating documentation, on the intended nature of the business relationship </w:t>
            </w:r>
          </w:p>
          <w:p w14:paraId="46EE9BE0"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Obtaining information on the source of funds or source of wealth of the settlor (as described in Annex 1) and evidencing this through appropriate documentation obtained</w:t>
            </w:r>
          </w:p>
          <w:p w14:paraId="4ADEAF80"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 xml:space="preserve">Carrying out additional searches (e.g., internet searches using independent and open sources) to better inform the client risk profile </w:t>
            </w:r>
          </w:p>
          <w:p w14:paraId="5BFF9425"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Considering the source of funds or wealth involved in the transaction or business relationship to seek to ensure they do not constitute the proceeds of crime. This could include obtaining appropriate documentation concerning the source of wealth or funds</w:t>
            </w:r>
          </w:p>
          <w:p w14:paraId="76E336B1"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Increasing the frequency and intensity of transaction monitoring</w:t>
            </w:r>
          </w:p>
          <w:p w14:paraId="05B609AF"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 xml:space="preserve">Obtaining the approval of senior management to commence or continue the business relationship. </w:t>
            </w:r>
          </w:p>
          <w:p w14:paraId="339E28E9"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lastRenderedPageBreak/>
              <w:t xml:space="preserve">Conducting enhanced monitoring of the business relationship, by increasing the number and timing of controls applied, and selecting patterns of transactions that need further examination </w:t>
            </w:r>
          </w:p>
          <w:p w14:paraId="55943E2C"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Where appropriate, requiring the first payment to be carried out through an account in the name of the trust, company or other legal entity with a bank subject to similar CDD standards</w:t>
            </w:r>
          </w:p>
          <w:p w14:paraId="3321FB6C" w14:textId="77777777" w:rsidR="00F5056B" w:rsidRPr="00C7345F" w:rsidRDefault="00F5056B" w:rsidP="00F5056B">
            <w:pPr>
              <w:pStyle w:val="BulletedList"/>
              <w:numPr>
                <w:ilvl w:val="0"/>
                <w:numId w:val="40"/>
              </w:numPr>
              <w:spacing w:after="0"/>
              <w:ind w:left="881" w:right="370" w:hanging="284"/>
              <w:rPr>
                <w:sz w:val="21"/>
                <w:szCs w:val="21"/>
              </w:rPr>
            </w:pPr>
            <w:r w:rsidRPr="00C7345F">
              <w:rPr>
                <w:sz w:val="21"/>
                <w:szCs w:val="21"/>
              </w:rPr>
              <w:t>Increasing awareness of higher risk clients and transactions, across all departments with a business relationship with the client, including the possibility of enhanced briefing of engagement teams responsible for the client</w:t>
            </w:r>
          </w:p>
          <w:p w14:paraId="3D830E7A" w14:textId="39B7251E" w:rsidR="00F5056B" w:rsidRPr="00961F86" w:rsidRDefault="00F5056B" w:rsidP="00F5056B">
            <w:pPr>
              <w:pStyle w:val="Para0"/>
            </w:pPr>
            <w:r w:rsidRPr="00C7345F">
              <w:rPr>
                <w:sz w:val="21"/>
                <w:szCs w:val="21"/>
              </w:rPr>
              <w:t>Enhanced CDD may also include lowering the threshold of ownership (e.g. below 25%), to ensure complete understanding of the control structure of the entity involved. It may also include looking further than simply equity shares, to understand the voting rights of each party who holds an interest in the entity.</w:t>
            </w:r>
          </w:p>
        </w:tc>
      </w:tr>
    </w:tbl>
    <w:p w14:paraId="4E54A446" w14:textId="59190EC0" w:rsidR="0098261F" w:rsidRDefault="0098261F" w:rsidP="00F53CA5">
      <w:pPr>
        <w:pStyle w:val="Heading3"/>
      </w:pPr>
      <w:bookmarkStart w:id="226" w:name="_Toc536181805"/>
      <w:bookmarkStart w:id="227" w:name="_Toc536194879"/>
      <w:bookmarkStart w:id="228" w:name="_Toc536201277"/>
      <w:bookmarkStart w:id="229" w:name="_Toc536201720"/>
      <w:bookmarkStart w:id="230" w:name="_Toc536201929"/>
      <w:bookmarkStart w:id="231" w:name="_Toc1994936"/>
      <w:bookmarkEnd w:id="226"/>
      <w:bookmarkEnd w:id="227"/>
      <w:bookmarkEnd w:id="228"/>
      <w:bookmarkEnd w:id="229"/>
      <w:bookmarkEnd w:id="230"/>
      <w:r>
        <w:lastRenderedPageBreak/>
        <w:t xml:space="preserve">Politically </w:t>
      </w:r>
      <w:r w:rsidRPr="00F53CA5">
        <w:t>exposed</w:t>
      </w:r>
      <w:r>
        <w:t xml:space="preserve"> persons (PEP)</w:t>
      </w:r>
      <w:r w:rsidR="006124E5">
        <w:t xml:space="preserve"> (R.12)</w:t>
      </w:r>
      <w:bookmarkEnd w:id="231"/>
    </w:p>
    <w:p w14:paraId="202EEEB8" w14:textId="277E6E96" w:rsidR="0098261F" w:rsidRDefault="0098261F" w:rsidP="00F53CA5">
      <w:pPr>
        <w:pStyle w:val="Para"/>
      </w:pPr>
      <w:r>
        <w:t>TCSP</w:t>
      </w:r>
      <w:r w:rsidR="00F75806">
        <w:t>s</w:t>
      </w:r>
      <w:r>
        <w:t xml:space="preserve"> should take reasonable measures to identify any </w:t>
      </w:r>
      <w:r w:rsidR="00A57774">
        <w:t xml:space="preserve">trustee, </w:t>
      </w:r>
      <w:r>
        <w:t xml:space="preserve">settlor, beneficial owner or natural </w:t>
      </w:r>
      <w:r w:rsidRPr="00F53CA5">
        <w:t>person</w:t>
      </w:r>
      <w:r>
        <w:t xml:space="preserve"> exercising effective control (as further described in Annex 1) in relation to a trust, company or other legal </w:t>
      </w:r>
      <w:r w:rsidR="00343BD7">
        <w:t xml:space="preserve">persons </w:t>
      </w:r>
      <w:r>
        <w:t>whether they are a PEP or a family member or close associate of a PEP. If any such person is a PEP, the TCSP should perform the following additional procedures:</w:t>
      </w:r>
    </w:p>
    <w:p w14:paraId="4388C1CA" w14:textId="77777777" w:rsidR="0098261F" w:rsidRPr="002A4F4B" w:rsidRDefault="0098261F" w:rsidP="00533ED1">
      <w:pPr>
        <w:pStyle w:val="BulletedList"/>
        <w:numPr>
          <w:ilvl w:val="0"/>
          <w:numId w:val="150"/>
        </w:numPr>
      </w:pPr>
      <w:r>
        <w:t xml:space="preserve">obtain senior management approval for establishing (or continuing, for existing structures) such business relationships; </w:t>
      </w:r>
    </w:p>
    <w:p w14:paraId="707F3E04" w14:textId="4CAC7678" w:rsidR="0098261F" w:rsidRPr="002A4F4B" w:rsidRDefault="0098261F" w:rsidP="00533ED1">
      <w:pPr>
        <w:pStyle w:val="BulletedList"/>
        <w:numPr>
          <w:ilvl w:val="0"/>
          <w:numId w:val="150"/>
        </w:numPr>
      </w:pPr>
      <w:r>
        <w:t>take reasonable measures to establish the source of wealth and source of funds in relation to the settlor</w:t>
      </w:r>
      <w:r w:rsidR="008270D7">
        <w:rPr>
          <w:szCs w:val="22"/>
        </w:rPr>
        <w:t>, beneficiaries who receive distributions, or natural persons exercising effective control over a trust or beneficial owners or natural persons exercising effective control over a legal entity or other arrangement</w:t>
      </w:r>
      <w:r>
        <w:t xml:space="preserve"> </w:t>
      </w:r>
      <w:r w:rsidR="008270D7" w:rsidRPr="00884D45">
        <w:rPr>
          <w:szCs w:val="22"/>
        </w:rPr>
        <w:t xml:space="preserve">identified as PEPs </w:t>
      </w:r>
      <w:r>
        <w:t xml:space="preserve">(as described in </w:t>
      </w:r>
      <w:r w:rsidR="00816A9A">
        <w:t>Annex 1</w:t>
      </w:r>
      <w:r>
        <w:t xml:space="preserve">); and </w:t>
      </w:r>
    </w:p>
    <w:p w14:paraId="5C7B2546" w14:textId="211BA2D8" w:rsidR="0098261F" w:rsidRDefault="0098261F" w:rsidP="00533ED1">
      <w:pPr>
        <w:pStyle w:val="BulletedList"/>
        <w:numPr>
          <w:ilvl w:val="0"/>
          <w:numId w:val="150"/>
        </w:numPr>
      </w:pPr>
      <w:r>
        <w:t>conduct enhanced ongoing monitoring of the business relationship.</w:t>
      </w:r>
    </w:p>
    <w:p w14:paraId="250131D9" w14:textId="7E56AFB8" w:rsidR="00816A9A" w:rsidRDefault="00816A9A" w:rsidP="00F53CA5">
      <w:pPr>
        <w:pStyle w:val="Para"/>
      </w:pPr>
      <w:r w:rsidRPr="00440B41">
        <w:rPr>
          <w:rFonts w:eastAsia="Times New Roman"/>
        </w:rPr>
        <w:t>Relevant</w:t>
      </w:r>
      <w:r>
        <w:t xml:space="preserve"> factors that will influence the extent and nature of CDD include the particular circumstances of a </w:t>
      </w:r>
      <w:r w:rsidRPr="005F0B97">
        <w:rPr>
          <w:rFonts w:eastAsia="Times New Roman"/>
          <w:szCs w:val="22"/>
        </w:rPr>
        <w:t>PEP</w:t>
      </w:r>
      <w:r>
        <w:t xml:space="preserve">, whether the PEP has access to official funds, the PEP’s home country, the type of work the PEP is instructing the </w:t>
      </w:r>
      <w:r w:rsidR="00230D8E">
        <w:t>TCSP</w:t>
      </w:r>
      <w:r>
        <w:t xml:space="preserve"> to perform or carry out (i.e. the services that are being asked for), whether the PEP is domestically based or international, particularly having regard to the services asked for, and the scrutiny to which the PEP is under in the PEP’s home country.</w:t>
      </w:r>
    </w:p>
    <w:p w14:paraId="39E20DED" w14:textId="5673CFDC" w:rsidR="00816A9A" w:rsidRDefault="002F3F4B" w:rsidP="00F53CA5">
      <w:pPr>
        <w:pStyle w:val="Para"/>
      </w:pPr>
      <w:r>
        <w:t>T</w:t>
      </w:r>
      <w:r w:rsidR="00816A9A">
        <w:t xml:space="preserve">he </w:t>
      </w:r>
      <w:r w:rsidR="00816A9A" w:rsidRPr="00440B41">
        <w:rPr>
          <w:rFonts w:eastAsia="Times New Roman"/>
        </w:rPr>
        <w:t>nature</w:t>
      </w:r>
      <w:r w:rsidR="00816A9A">
        <w:t xml:space="preserve"> of the risk should be considered in light of all relevant circumstances, such as:</w:t>
      </w:r>
    </w:p>
    <w:p w14:paraId="0D2B7000" w14:textId="2A13EE36" w:rsidR="008270D7" w:rsidRPr="00884D45" w:rsidRDefault="008270D7" w:rsidP="00533ED1">
      <w:pPr>
        <w:pStyle w:val="BulletedList"/>
        <w:numPr>
          <w:ilvl w:val="0"/>
          <w:numId w:val="151"/>
        </w:numPr>
      </w:pPr>
      <w:r w:rsidRPr="00884D45">
        <w:t xml:space="preserve">The nature of the relationship between the client and the PEP. </w:t>
      </w:r>
      <w:r>
        <w:t>If the client is a trust, company or legal entity, e</w:t>
      </w:r>
      <w:r w:rsidRPr="00884D45">
        <w:t xml:space="preserve">ven if the PEP </w:t>
      </w:r>
      <w:r>
        <w:t>is not a natural person exercising effective control or the PEP is merely a discretionary beneficiary who has not received any distributions,</w:t>
      </w:r>
      <w:r w:rsidRPr="00884D45">
        <w:t xml:space="preserve"> the PEP may nonetheless affect the risk assessment.</w:t>
      </w:r>
      <w:r>
        <w:t xml:space="preserve"> </w:t>
      </w:r>
    </w:p>
    <w:p w14:paraId="56745FF4" w14:textId="7D51A62F" w:rsidR="008270D7" w:rsidRPr="00884D45" w:rsidRDefault="008270D7" w:rsidP="00533ED1">
      <w:pPr>
        <w:pStyle w:val="BulletedList"/>
        <w:numPr>
          <w:ilvl w:val="0"/>
          <w:numId w:val="151"/>
        </w:numPr>
      </w:pPr>
      <w:r w:rsidRPr="00884D45">
        <w:t>The nature of the client (e.g. where it is a public listed company</w:t>
      </w:r>
      <w:r>
        <w:t xml:space="preserve"> or regulated entity </w:t>
      </w:r>
      <w:r w:rsidR="00253BB9">
        <w:t xml:space="preserve">which </w:t>
      </w:r>
      <w:r>
        <w:t xml:space="preserve">is subject to and regulated for a full range of </w:t>
      </w:r>
      <w:r w:rsidR="00ED0CDE">
        <w:t xml:space="preserve">AML/CFT </w:t>
      </w:r>
      <w:r>
        <w:t>requirements consistent with FATF recommendations</w:t>
      </w:r>
      <w:r w:rsidRPr="00884D45">
        <w:t>, the fact that it is subject to reporting obligations will be a relevant factor, albeit this should not automatically qualify the client for simplified CDD).</w:t>
      </w:r>
    </w:p>
    <w:p w14:paraId="7D9B385F" w14:textId="70BF1524" w:rsidR="008270D7" w:rsidRPr="00064106" w:rsidRDefault="008270D7" w:rsidP="00533ED1">
      <w:pPr>
        <w:pStyle w:val="BulletedList"/>
        <w:numPr>
          <w:ilvl w:val="0"/>
          <w:numId w:val="151"/>
        </w:numPr>
      </w:pPr>
      <w:r w:rsidRPr="00064106">
        <w:lastRenderedPageBreak/>
        <w:t>The nature of the services sought. For example, lower risks may exist where a PEP is not the client but a director of a client that is a public listed company or regulated entity and the client is purchasing property for adequate consideration.</w:t>
      </w:r>
    </w:p>
    <w:p w14:paraId="2616A38D" w14:textId="777DBD84" w:rsidR="0098261F" w:rsidRPr="0076153C" w:rsidRDefault="002D6773" w:rsidP="00F53CA5">
      <w:pPr>
        <w:pStyle w:val="Heading3"/>
      </w:pPr>
      <w:bookmarkStart w:id="232" w:name="_Toc530407849"/>
      <w:bookmarkStart w:id="233" w:name="_Toc530408038"/>
      <w:bookmarkStart w:id="234" w:name="_Toc536181807"/>
      <w:bookmarkStart w:id="235" w:name="_Toc536194881"/>
      <w:bookmarkStart w:id="236" w:name="_Toc536201279"/>
      <w:bookmarkStart w:id="237" w:name="_Toc536201722"/>
      <w:bookmarkStart w:id="238" w:name="_Toc536201931"/>
      <w:bookmarkStart w:id="239" w:name="_Toc536181808"/>
      <w:bookmarkStart w:id="240" w:name="_Toc536194882"/>
      <w:bookmarkStart w:id="241" w:name="_Toc536201280"/>
      <w:bookmarkStart w:id="242" w:name="_Toc536201723"/>
      <w:bookmarkStart w:id="243" w:name="_Toc536201932"/>
      <w:bookmarkStart w:id="244" w:name="_Toc536181810"/>
      <w:bookmarkStart w:id="245" w:name="_Toc536194884"/>
      <w:bookmarkStart w:id="246" w:name="_Toc536201282"/>
      <w:bookmarkStart w:id="247" w:name="_Toc536201725"/>
      <w:bookmarkStart w:id="248" w:name="_Toc536201934"/>
      <w:bookmarkStart w:id="249" w:name="_Toc536181811"/>
      <w:bookmarkStart w:id="250" w:name="_Toc536194885"/>
      <w:bookmarkStart w:id="251" w:name="_Toc536201283"/>
      <w:bookmarkStart w:id="252" w:name="_Toc536201726"/>
      <w:bookmarkStart w:id="253" w:name="_Toc536201935"/>
      <w:bookmarkStart w:id="254" w:name="_Toc536181812"/>
      <w:bookmarkStart w:id="255" w:name="_Toc536194886"/>
      <w:bookmarkStart w:id="256" w:name="_Toc536201284"/>
      <w:bookmarkStart w:id="257" w:name="_Toc536201727"/>
      <w:bookmarkStart w:id="258" w:name="_Toc536201936"/>
      <w:bookmarkStart w:id="259" w:name="_Toc536181813"/>
      <w:bookmarkStart w:id="260" w:name="_Toc536194887"/>
      <w:bookmarkStart w:id="261" w:name="_Toc536201285"/>
      <w:bookmarkStart w:id="262" w:name="_Toc536201728"/>
      <w:bookmarkStart w:id="263" w:name="_Toc536201937"/>
      <w:bookmarkStart w:id="264" w:name="_Toc536181814"/>
      <w:bookmarkStart w:id="265" w:name="_Toc536194888"/>
      <w:bookmarkStart w:id="266" w:name="_Toc536201286"/>
      <w:bookmarkStart w:id="267" w:name="_Toc536201729"/>
      <w:bookmarkStart w:id="268" w:name="_Toc536201938"/>
      <w:bookmarkStart w:id="269" w:name="_Toc536181815"/>
      <w:bookmarkStart w:id="270" w:name="_Toc536194889"/>
      <w:bookmarkStart w:id="271" w:name="_Toc536201287"/>
      <w:bookmarkStart w:id="272" w:name="_Toc536201730"/>
      <w:bookmarkStart w:id="273" w:name="_Toc536201939"/>
      <w:bookmarkStart w:id="274" w:name="_Toc536181816"/>
      <w:bookmarkStart w:id="275" w:name="_Toc536194890"/>
      <w:bookmarkStart w:id="276" w:name="_Toc536201288"/>
      <w:bookmarkStart w:id="277" w:name="_Toc536201731"/>
      <w:bookmarkStart w:id="278" w:name="_Toc536201940"/>
      <w:bookmarkStart w:id="279" w:name="_Toc536181819"/>
      <w:bookmarkStart w:id="280" w:name="_Toc536194893"/>
      <w:bookmarkStart w:id="281" w:name="_Toc536201291"/>
      <w:bookmarkStart w:id="282" w:name="_Toc536201734"/>
      <w:bookmarkStart w:id="283" w:name="_Toc536201943"/>
      <w:bookmarkStart w:id="284" w:name="_Toc536181821"/>
      <w:bookmarkStart w:id="285" w:name="_Toc536194895"/>
      <w:bookmarkStart w:id="286" w:name="_Toc536201293"/>
      <w:bookmarkStart w:id="287" w:name="_Toc536201736"/>
      <w:bookmarkStart w:id="288" w:name="_Toc536201945"/>
      <w:bookmarkStart w:id="289" w:name="_Toc536181822"/>
      <w:bookmarkStart w:id="290" w:name="_Toc536194896"/>
      <w:bookmarkStart w:id="291" w:name="_Toc536201294"/>
      <w:bookmarkStart w:id="292" w:name="_Toc536201737"/>
      <w:bookmarkStart w:id="293" w:name="_Toc536201946"/>
      <w:bookmarkStart w:id="294" w:name="_Toc536181824"/>
      <w:bookmarkStart w:id="295" w:name="_Toc536194898"/>
      <w:bookmarkStart w:id="296" w:name="_Toc536201296"/>
      <w:bookmarkStart w:id="297" w:name="_Toc536201739"/>
      <w:bookmarkStart w:id="298" w:name="_Toc536201948"/>
      <w:bookmarkStart w:id="299" w:name="_Toc536181825"/>
      <w:bookmarkStart w:id="300" w:name="_Toc536194899"/>
      <w:bookmarkStart w:id="301" w:name="_Toc536201297"/>
      <w:bookmarkStart w:id="302" w:name="_Toc536201740"/>
      <w:bookmarkStart w:id="303" w:name="_Toc536201949"/>
      <w:bookmarkStart w:id="304" w:name="_Toc536181826"/>
      <w:bookmarkStart w:id="305" w:name="_Toc536194900"/>
      <w:bookmarkStart w:id="306" w:name="_Toc536201298"/>
      <w:bookmarkStart w:id="307" w:name="_Toc536201741"/>
      <w:bookmarkStart w:id="308" w:name="_Toc536201950"/>
      <w:bookmarkStart w:id="309" w:name="_Toc536181827"/>
      <w:bookmarkStart w:id="310" w:name="_Toc536194901"/>
      <w:bookmarkStart w:id="311" w:name="_Toc536201299"/>
      <w:bookmarkStart w:id="312" w:name="_Toc536201742"/>
      <w:bookmarkStart w:id="313" w:name="_Toc536201951"/>
      <w:bookmarkStart w:id="314" w:name="_Toc536181828"/>
      <w:bookmarkStart w:id="315" w:name="_Toc536194902"/>
      <w:bookmarkStart w:id="316" w:name="_Toc536201300"/>
      <w:bookmarkStart w:id="317" w:name="_Toc536201743"/>
      <w:bookmarkStart w:id="318" w:name="_Toc536201952"/>
      <w:bookmarkStart w:id="319" w:name="_Toc1994937"/>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r>
        <w:rPr>
          <w:u w:color="000000"/>
        </w:rPr>
        <w:t xml:space="preserve">Ongoing </w:t>
      </w:r>
      <w:r w:rsidRPr="00F53CA5">
        <w:t>m</w:t>
      </w:r>
      <w:r w:rsidR="0098261F" w:rsidRPr="00F53CA5">
        <w:t>onitoring</w:t>
      </w:r>
      <w:r w:rsidR="0098261F">
        <w:rPr>
          <w:u w:color="000000"/>
        </w:rPr>
        <w:t xml:space="preserve"> </w:t>
      </w:r>
      <w:r w:rsidR="006124E5">
        <w:rPr>
          <w:u w:color="000000"/>
        </w:rPr>
        <w:t>of clients and specified activities (R.10</w:t>
      </w:r>
      <w:r>
        <w:rPr>
          <w:u w:color="000000"/>
        </w:rPr>
        <w:t xml:space="preserve"> and 22</w:t>
      </w:r>
      <w:r w:rsidR="006124E5">
        <w:rPr>
          <w:u w:color="000000"/>
        </w:rPr>
        <w:t>)</w:t>
      </w:r>
      <w:bookmarkEnd w:id="319"/>
    </w:p>
    <w:p w14:paraId="4D8D22C7" w14:textId="43E05B5F" w:rsidR="0098261F" w:rsidRDefault="0098261F" w:rsidP="00C7345F">
      <w:pPr>
        <w:pStyle w:val="Para"/>
        <w:spacing w:line="228" w:lineRule="auto"/>
      </w:pPr>
      <w:r>
        <w:t xml:space="preserve">TCSPs </w:t>
      </w:r>
      <w:r w:rsidRPr="0076153C">
        <w:t>are</w:t>
      </w:r>
      <w:r w:rsidRPr="00927E84">
        <w:t xml:space="preserve"> </w:t>
      </w:r>
      <w:r w:rsidRPr="0076153C">
        <w:t>not</w:t>
      </w:r>
      <w:r w:rsidRPr="00927E84">
        <w:t xml:space="preserve"> </w:t>
      </w:r>
      <w:r w:rsidRPr="0076153C">
        <w:t>expected</w:t>
      </w:r>
      <w:r w:rsidRPr="00927E84">
        <w:t xml:space="preserve"> </w:t>
      </w:r>
      <w:r w:rsidRPr="0076153C">
        <w:t>to</w:t>
      </w:r>
      <w:r w:rsidRPr="00927E84">
        <w:t xml:space="preserve"> </w:t>
      </w:r>
      <w:r w:rsidRPr="0076153C">
        <w:t>scrutinise</w:t>
      </w:r>
      <w:r w:rsidRPr="00927E84">
        <w:t xml:space="preserve"> </w:t>
      </w:r>
      <w:r w:rsidRPr="0076153C">
        <w:t>eve</w:t>
      </w:r>
      <w:r w:rsidRPr="00927E84">
        <w:t>r</w:t>
      </w:r>
      <w:r w:rsidRPr="0076153C">
        <w:t>y</w:t>
      </w:r>
      <w:r w:rsidRPr="00927E84">
        <w:t xml:space="preserve"> </w:t>
      </w:r>
      <w:r w:rsidRPr="0076153C">
        <w:t>transaction</w:t>
      </w:r>
      <w:r w:rsidRPr="00927E84">
        <w:t xml:space="preserve"> </w:t>
      </w:r>
      <w:r>
        <w:t>carried out by a trust, company or other legal entity to whom the TCSP provides services.</w:t>
      </w:r>
      <w:r w:rsidRPr="00927E84">
        <w:t xml:space="preserve"> </w:t>
      </w:r>
      <w:r>
        <w:t>S</w:t>
      </w:r>
      <w:r w:rsidRPr="0076153C">
        <w:t>o</w:t>
      </w:r>
      <w:r w:rsidRPr="00927E84">
        <w:t>m</w:t>
      </w:r>
      <w:r w:rsidRPr="0076153C">
        <w:t>e</w:t>
      </w:r>
      <w:r w:rsidRPr="00927E84">
        <w:t xml:space="preserve"> </w:t>
      </w:r>
      <w:r w:rsidRPr="0076153C">
        <w:t>serv</w:t>
      </w:r>
      <w:r w:rsidRPr="00927E84">
        <w:t>i</w:t>
      </w:r>
      <w:r w:rsidRPr="0076153C">
        <w:t>ces</w:t>
      </w:r>
      <w:r w:rsidRPr="00927E84">
        <w:t xml:space="preserve"> </w:t>
      </w:r>
      <w:r w:rsidRPr="0076153C">
        <w:t>are</w:t>
      </w:r>
      <w:r w:rsidRPr="00927E84">
        <w:t xml:space="preserve"> </w:t>
      </w:r>
      <w:r w:rsidRPr="0076153C">
        <w:t>provided</w:t>
      </w:r>
      <w:r w:rsidRPr="00927E84">
        <w:t xml:space="preserve"> </w:t>
      </w:r>
      <w:r w:rsidRPr="0076153C">
        <w:t>on</w:t>
      </w:r>
      <w:r w:rsidRPr="00927E84">
        <w:t>l</w:t>
      </w:r>
      <w:r w:rsidRPr="0076153C">
        <w:t>y on</w:t>
      </w:r>
      <w:r w:rsidRPr="00927E84">
        <w:t xml:space="preserve"> </w:t>
      </w:r>
      <w:r w:rsidRPr="0076153C">
        <w:t>a</w:t>
      </w:r>
      <w:r w:rsidRPr="00927E84">
        <w:t xml:space="preserve"> </w:t>
      </w:r>
      <w:r w:rsidRPr="0076153C">
        <w:t>o</w:t>
      </w:r>
      <w:r>
        <w:t>n</w:t>
      </w:r>
      <w:r w:rsidRPr="0076153C">
        <w:t>e</w:t>
      </w:r>
      <w:r w:rsidRPr="00927E84">
        <w:t>-</w:t>
      </w:r>
      <w:r w:rsidRPr="0076153C">
        <w:t>off</w:t>
      </w:r>
      <w:r w:rsidRPr="00927E84">
        <w:t xml:space="preserve"> </w:t>
      </w:r>
      <w:r w:rsidRPr="0076153C">
        <w:t>bas</w:t>
      </w:r>
      <w:r w:rsidRPr="00927E84">
        <w:t>i</w:t>
      </w:r>
      <w:r w:rsidRPr="0076153C">
        <w:t>s,</w:t>
      </w:r>
      <w:r w:rsidRPr="00927E84">
        <w:t xml:space="preserve"> </w:t>
      </w:r>
      <w:r w:rsidRPr="0076153C">
        <w:t>without</w:t>
      </w:r>
      <w:r w:rsidRPr="00927E84">
        <w:t xml:space="preserve"> </w:t>
      </w:r>
      <w:r w:rsidRPr="0076153C">
        <w:t>a</w:t>
      </w:r>
      <w:r w:rsidRPr="00927E84">
        <w:t xml:space="preserve"> </w:t>
      </w:r>
      <w:r w:rsidRPr="0076153C">
        <w:t>continuing</w:t>
      </w:r>
      <w:r w:rsidRPr="00927E84">
        <w:t xml:space="preserve"> </w:t>
      </w:r>
      <w:r w:rsidRPr="0076153C">
        <w:t>relationship</w:t>
      </w:r>
      <w:r w:rsidRPr="00927E84">
        <w:t xml:space="preserve"> </w:t>
      </w:r>
      <w:r w:rsidRPr="0076153C">
        <w:t>wi</w:t>
      </w:r>
      <w:r w:rsidRPr="00927E84">
        <w:t>t</w:t>
      </w:r>
      <w:r w:rsidRPr="0076153C">
        <w:t>h the</w:t>
      </w:r>
      <w:r w:rsidRPr="00927E84">
        <w:t xml:space="preserve"> </w:t>
      </w:r>
      <w:r>
        <w:t>trust, company or other legal entity and without the TCSP having access to the books and records of the trust, company or other legal entity and/or bank records</w:t>
      </w:r>
      <w:r w:rsidRPr="0076153C">
        <w:t>.</w:t>
      </w:r>
      <w:r w:rsidRPr="00927E84">
        <w:t xml:space="preserve"> </w:t>
      </w:r>
      <w:r w:rsidRPr="0076153C">
        <w:t>However,</w:t>
      </w:r>
      <w:r w:rsidRPr="00927E84">
        <w:t xml:space="preserve"> </w:t>
      </w:r>
      <w:r w:rsidRPr="0076153C">
        <w:t>many</w:t>
      </w:r>
      <w:r w:rsidRPr="00927E84">
        <w:t xml:space="preserve"> </w:t>
      </w:r>
      <w:r w:rsidRPr="0076153C">
        <w:t>of</w:t>
      </w:r>
      <w:r w:rsidRPr="00927E84">
        <w:t xml:space="preserve"> th</w:t>
      </w:r>
      <w:r w:rsidRPr="0076153C">
        <w:t>e</w:t>
      </w:r>
      <w:r w:rsidRPr="00927E84">
        <w:t xml:space="preserve"> </w:t>
      </w:r>
      <w:r w:rsidRPr="0076153C">
        <w:t>pro</w:t>
      </w:r>
      <w:r w:rsidRPr="00927E84">
        <w:t>f</w:t>
      </w:r>
      <w:r w:rsidRPr="0076153C">
        <w:t>essional services</w:t>
      </w:r>
      <w:r w:rsidRPr="00927E84">
        <w:t xml:space="preserve"> </w:t>
      </w:r>
      <w:r w:rsidRPr="0076153C">
        <w:t>provided</w:t>
      </w:r>
      <w:r w:rsidRPr="00927E84">
        <w:t xml:space="preserve"> </w:t>
      </w:r>
      <w:r w:rsidRPr="0076153C">
        <w:t>by</w:t>
      </w:r>
      <w:r w:rsidRPr="00927E84">
        <w:t xml:space="preserve"> </w:t>
      </w:r>
      <w:r>
        <w:t xml:space="preserve">TCSPs enable </w:t>
      </w:r>
      <w:r w:rsidRPr="0076153C">
        <w:t>them</w:t>
      </w:r>
      <w:r w:rsidRPr="00927E84">
        <w:t xml:space="preserve"> </w:t>
      </w:r>
      <w:r>
        <w:t xml:space="preserve">to identify </w:t>
      </w:r>
      <w:r w:rsidRPr="0076153C">
        <w:t>suspicious</w:t>
      </w:r>
      <w:r w:rsidRPr="00927E84">
        <w:t xml:space="preserve"> </w:t>
      </w:r>
      <w:r>
        <w:t xml:space="preserve">activity or transactions </w:t>
      </w:r>
      <w:r w:rsidRPr="0076153C">
        <w:t>carried</w:t>
      </w:r>
      <w:r w:rsidRPr="00927E84">
        <w:t xml:space="preserve"> </w:t>
      </w:r>
      <w:r w:rsidRPr="0076153C">
        <w:t>out</w:t>
      </w:r>
      <w:r w:rsidRPr="00927E84">
        <w:t xml:space="preserve"> </w:t>
      </w:r>
      <w:r>
        <w:t xml:space="preserve">using trust, companies or other legal entities. For example, their direct </w:t>
      </w:r>
      <w:r w:rsidRPr="0076153C">
        <w:t>knowledge</w:t>
      </w:r>
      <w:r w:rsidRPr="00927E84">
        <w:t xml:space="preserve"> </w:t>
      </w:r>
      <w:r w:rsidRPr="0076153C">
        <w:t>of</w:t>
      </w:r>
      <w:r>
        <w:t>,</w:t>
      </w:r>
      <w:r w:rsidRPr="00927E84">
        <w:t xml:space="preserve"> </w:t>
      </w:r>
      <w:r w:rsidRPr="0076153C">
        <w:t>and</w:t>
      </w:r>
      <w:r w:rsidRPr="00927E84">
        <w:t xml:space="preserve"> </w:t>
      </w:r>
      <w:r w:rsidRPr="0076153C">
        <w:t>access</w:t>
      </w:r>
      <w:r>
        <w:t xml:space="preserve">, </w:t>
      </w:r>
      <w:r w:rsidRPr="0076153C">
        <w:t>to</w:t>
      </w:r>
      <w:r w:rsidRPr="00927E84">
        <w:t xml:space="preserve"> </w:t>
      </w:r>
      <w:r w:rsidRPr="0076153C">
        <w:t>the</w:t>
      </w:r>
      <w:r w:rsidRPr="00927E84">
        <w:t xml:space="preserve"> </w:t>
      </w:r>
      <w:r w:rsidRPr="0076153C">
        <w:t>records</w:t>
      </w:r>
      <w:r w:rsidRPr="00927E84">
        <w:t xml:space="preserve"> </w:t>
      </w:r>
      <w:r w:rsidRPr="0076153C">
        <w:t>a</w:t>
      </w:r>
      <w:r w:rsidRPr="00927E84">
        <w:t>n</w:t>
      </w:r>
      <w:r w:rsidRPr="0076153C">
        <w:t>d</w:t>
      </w:r>
      <w:r w:rsidRPr="00927E84">
        <w:t xml:space="preserve"> m</w:t>
      </w:r>
      <w:r w:rsidRPr="0076153C">
        <w:t>anagement processes</w:t>
      </w:r>
      <w:r>
        <w:t xml:space="preserve"> of such structures</w:t>
      </w:r>
      <w:r w:rsidRPr="00927E84">
        <w:t xml:space="preserve"> </w:t>
      </w:r>
      <w:r w:rsidRPr="0076153C">
        <w:t>as</w:t>
      </w:r>
      <w:r w:rsidRPr="00927E84">
        <w:t xml:space="preserve"> </w:t>
      </w:r>
      <w:r w:rsidRPr="0076153C">
        <w:t>well</w:t>
      </w:r>
      <w:r w:rsidRPr="00927E84">
        <w:t xml:space="preserve"> </w:t>
      </w:r>
      <w:r w:rsidRPr="0076153C">
        <w:t>as</w:t>
      </w:r>
      <w:r w:rsidRPr="00927E84">
        <w:t xml:space="preserve"> t</w:t>
      </w:r>
      <w:r w:rsidRPr="0076153C">
        <w:t>hrough</w:t>
      </w:r>
      <w:r w:rsidRPr="00927E84">
        <w:t xml:space="preserve"> </w:t>
      </w:r>
      <w:r w:rsidRPr="0076153C">
        <w:t>close working</w:t>
      </w:r>
      <w:r w:rsidRPr="00927E84">
        <w:t xml:space="preserve"> </w:t>
      </w:r>
      <w:r w:rsidRPr="0076153C">
        <w:t>relationships</w:t>
      </w:r>
      <w:r w:rsidRPr="00927E84">
        <w:t xml:space="preserve"> </w:t>
      </w:r>
      <w:r w:rsidRPr="0076153C">
        <w:t>with</w:t>
      </w:r>
      <w:r w:rsidRPr="00927E84">
        <w:t xml:space="preserve"> </w:t>
      </w:r>
      <w:r w:rsidR="00A57774">
        <w:t xml:space="preserve">trustees, </w:t>
      </w:r>
      <w:r>
        <w:t xml:space="preserve">settlors, </w:t>
      </w:r>
      <w:r w:rsidRPr="0076153C">
        <w:t>m</w:t>
      </w:r>
      <w:r w:rsidRPr="00927E84">
        <w:t>a</w:t>
      </w:r>
      <w:r w:rsidRPr="0076153C">
        <w:t>nagers</w:t>
      </w:r>
      <w:r w:rsidRPr="00927E84">
        <w:t xml:space="preserve"> </w:t>
      </w:r>
      <w:r w:rsidRPr="0076153C">
        <w:t>and</w:t>
      </w:r>
      <w:r w:rsidRPr="00927E84">
        <w:t xml:space="preserve"> </w:t>
      </w:r>
      <w:r>
        <w:t xml:space="preserve">beneficial </w:t>
      </w:r>
      <w:r w:rsidRPr="0076153C">
        <w:t>ow</w:t>
      </w:r>
      <w:r w:rsidRPr="00927E84">
        <w:t>n</w:t>
      </w:r>
      <w:r w:rsidRPr="0076153C">
        <w:t>ers</w:t>
      </w:r>
      <w:r>
        <w:t xml:space="preserve"> may help TCSPs make a determination in this regard</w:t>
      </w:r>
      <w:r w:rsidRPr="0076153C">
        <w:t>.</w:t>
      </w:r>
      <w:r w:rsidRPr="00927E84">
        <w:t xml:space="preserve"> </w:t>
      </w:r>
      <w:r w:rsidR="00ED0CDE">
        <w:t>The continued administration and management of the legal persons and arrangements (e.g. account reporting, asset disbursements</w:t>
      </w:r>
      <w:r w:rsidR="00A01FA2">
        <w:t xml:space="preserve"> and </w:t>
      </w:r>
      <w:r w:rsidR="00ED0CDE">
        <w:t>corporate filings) would also enable the relevant TCSPs to develop a better understanding of the activities of their customers.</w:t>
      </w:r>
    </w:p>
    <w:p w14:paraId="3A7BFBDE" w14:textId="77777777" w:rsidR="0098261F" w:rsidRPr="00F53CA5" w:rsidRDefault="0098261F" w:rsidP="00C7345F">
      <w:pPr>
        <w:pStyle w:val="Para"/>
        <w:spacing w:line="228" w:lineRule="auto"/>
      </w:pPr>
      <w:r>
        <w:t xml:space="preserve">TCSPs </w:t>
      </w:r>
      <w:r w:rsidRPr="00927E84">
        <w:t>nee</w:t>
      </w:r>
      <w:r w:rsidRPr="0076153C">
        <w:t>d</w:t>
      </w:r>
      <w:r w:rsidRPr="00927E84">
        <w:t xml:space="preserve"> t</w:t>
      </w:r>
      <w:r w:rsidRPr="0076153C">
        <w:t xml:space="preserve">o </w:t>
      </w:r>
      <w:r w:rsidRPr="00927E84">
        <w:t>b</w:t>
      </w:r>
      <w:r w:rsidRPr="0076153C">
        <w:t xml:space="preserve">e </w:t>
      </w:r>
      <w:r w:rsidRPr="00927E84">
        <w:t>continuall</w:t>
      </w:r>
      <w:r w:rsidRPr="0076153C">
        <w:t>y</w:t>
      </w:r>
      <w:r w:rsidRPr="00927E84">
        <w:t xml:space="preserve"> aler</w:t>
      </w:r>
      <w:r w:rsidRPr="0076153C">
        <w:t>t for</w:t>
      </w:r>
      <w:r w:rsidRPr="00927E84">
        <w:t xml:space="preserve"> </w:t>
      </w:r>
      <w:r w:rsidRPr="0076153C">
        <w:t>events</w:t>
      </w:r>
      <w:r w:rsidRPr="00927E84">
        <w:t xml:space="preserve"> </w:t>
      </w:r>
      <w:r w:rsidRPr="0076153C">
        <w:t>or</w:t>
      </w:r>
      <w:r w:rsidRPr="00927E84">
        <w:t xml:space="preserve"> </w:t>
      </w:r>
      <w:r w:rsidRPr="0076153C">
        <w:t>situations</w:t>
      </w:r>
      <w:r w:rsidRPr="00927E84">
        <w:t xml:space="preserve"> </w:t>
      </w:r>
      <w:r w:rsidRPr="0076153C">
        <w:t>which</w:t>
      </w:r>
      <w:r w:rsidRPr="00927E84">
        <w:t xml:space="preserve"> </w:t>
      </w:r>
      <w:r w:rsidRPr="0076153C">
        <w:t>are</w:t>
      </w:r>
      <w:r w:rsidRPr="00927E84">
        <w:t xml:space="preserve"> </w:t>
      </w:r>
      <w:r w:rsidRPr="0076153C">
        <w:t>indicative</w:t>
      </w:r>
      <w:r w:rsidRPr="00927E84">
        <w:t xml:space="preserve"> </w:t>
      </w:r>
      <w:r w:rsidRPr="0076153C">
        <w:t>of</w:t>
      </w:r>
      <w:r w:rsidRPr="00927E84">
        <w:t xml:space="preserve"> </w:t>
      </w:r>
      <w:r w:rsidRPr="0076153C">
        <w:t>a</w:t>
      </w:r>
      <w:r w:rsidRPr="00927E84">
        <w:t xml:space="preserve"> </w:t>
      </w:r>
      <w:r w:rsidRPr="0076153C">
        <w:t>reason</w:t>
      </w:r>
      <w:r w:rsidRPr="00927E84">
        <w:t xml:space="preserve"> </w:t>
      </w:r>
      <w:r w:rsidRPr="0076153C">
        <w:t>to</w:t>
      </w:r>
      <w:r w:rsidRPr="00927E84">
        <w:t xml:space="preserve"> </w:t>
      </w:r>
      <w:r w:rsidRPr="0076153C">
        <w:t>be</w:t>
      </w:r>
      <w:r w:rsidRPr="00927E84">
        <w:t xml:space="preserve"> </w:t>
      </w:r>
      <w:r w:rsidRPr="0076153C">
        <w:t>sus</w:t>
      </w:r>
      <w:r w:rsidRPr="00927E84">
        <w:t>p</w:t>
      </w:r>
      <w:r w:rsidRPr="0076153C">
        <w:t xml:space="preserve">icious </w:t>
      </w:r>
      <w:r w:rsidRPr="00F53CA5">
        <w:t>of ML/TF, employing their professional experience and judgement in the formulation of suspicions where appropriate. An advantage in carrying out this function is the professional scepticism which is a defining characteristic of many professional TCSPs’ functions and relationships.</w:t>
      </w:r>
    </w:p>
    <w:p w14:paraId="417A49BE" w14:textId="2178BAA6" w:rsidR="0098261F" w:rsidRPr="00F53CA5" w:rsidRDefault="0098261F" w:rsidP="00C7345F">
      <w:pPr>
        <w:pStyle w:val="Para"/>
        <w:spacing w:line="228" w:lineRule="auto"/>
      </w:pPr>
      <w:r w:rsidRPr="00F53CA5">
        <w:t>Ongoing monitoring of the business relationship should be carried out on a risk related basis, to ensure that the</w:t>
      </w:r>
      <w:r w:rsidR="00A57774" w:rsidRPr="00F53CA5">
        <w:t xml:space="preserve"> trustees,</w:t>
      </w:r>
      <w:r w:rsidRPr="00F53CA5">
        <w:t xml:space="preserve"> settlors, beneficial owners and natural persons exercising effective control (as described in Annex 1) retain the same identity and risk profile established on acceptance. This requires an appropriate level of scrutiny of activity during the relationship, including enquiry into source of funds where necessary, to judge consistency with expected behaviour based on CDD information. As discussed below, ongoing monitoring may also give rise to filing a STR.</w:t>
      </w:r>
    </w:p>
    <w:p w14:paraId="0B6BCC8D" w14:textId="3D29B8F2" w:rsidR="0098261F" w:rsidRPr="00F53CA5" w:rsidRDefault="0098261F" w:rsidP="00C7345F">
      <w:pPr>
        <w:pStyle w:val="Para"/>
        <w:spacing w:line="228" w:lineRule="auto"/>
      </w:pPr>
      <w:r w:rsidRPr="00F53CA5">
        <w:t xml:space="preserve">The TCSP should also consider reviewing CDD on an engagement/assignment basis for each trust, company or other legal entity with respect to which the TCSP provides ongoing services. Well-known, reputable, long-standing </w:t>
      </w:r>
      <w:r w:rsidR="00A57774" w:rsidRPr="00F53CA5">
        <w:t xml:space="preserve">trustees, </w:t>
      </w:r>
      <w:r w:rsidRPr="00F53CA5">
        <w:t xml:space="preserve">settlors, beneficial owners or other natural persons exercising effective control (as described in Annex </w:t>
      </w:r>
      <w:r w:rsidR="009F7D77" w:rsidRPr="00F53CA5">
        <w:t>1</w:t>
      </w:r>
      <w:r w:rsidRPr="00F53CA5">
        <w:t>) may suddenly request a new type of service that is not in line with the previous relationship with the TCSP. Such an assignment may suggest a greater level of risk.</w:t>
      </w:r>
    </w:p>
    <w:p w14:paraId="4192FE7C" w14:textId="31787970" w:rsidR="0098261F" w:rsidRPr="00F53CA5" w:rsidRDefault="00ED0CDE" w:rsidP="00C7345F">
      <w:pPr>
        <w:pStyle w:val="Para"/>
        <w:spacing w:line="228" w:lineRule="auto"/>
      </w:pPr>
      <w:r w:rsidRPr="00F53CA5">
        <w:t xml:space="preserve">TCSPs should not conduct investigations into suspected </w:t>
      </w:r>
      <w:r w:rsidR="003263BB" w:rsidRPr="00F53CA5">
        <w:t>ML/TF</w:t>
      </w:r>
      <w:r w:rsidRPr="00F53CA5">
        <w:t xml:space="preserve"> on their own but instead file a STR or if the behaviour is egregious they should contact the FIU, law enforcement or supervisors, as appropriate, for guidance. Within the scope of engagement, a TCSP should be mindful of the </w:t>
      </w:r>
      <w:r w:rsidR="002D6773" w:rsidRPr="00F53CA5">
        <w:t xml:space="preserve">prohibition </w:t>
      </w:r>
      <w:r w:rsidRPr="00F53CA5">
        <w:t xml:space="preserve">on “tipping off” the individual concerned where a suspicion has been </w:t>
      </w:r>
      <w:r w:rsidR="002D6773" w:rsidRPr="00F53CA5">
        <w:t>formed</w:t>
      </w:r>
      <w:r w:rsidRPr="00F53CA5">
        <w:t xml:space="preserve">. Carrying out additional investigations, which are not within the scope of the engagement should also be considered against the risk alerting a money launderer. </w:t>
      </w:r>
    </w:p>
    <w:p w14:paraId="7014C450" w14:textId="1E574FA4" w:rsidR="00ED0CDE" w:rsidRPr="0076153C" w:rsidRDefault="00ED0CDE" w:rsidP="00C7345F">
      <w:pPr>
        <w:pStyle w:val="Para"/>
        <w:spacing w:line="228" w:lineRule="auto"/>
      </w:pPr>
      <w:r w:rsidRPr="00F53CA5">
        <w:t>When deciding whether or not an activity or transaction is suspicious, TCSPs may need to make additional enquiries (within the normal scope of the assignment or business relationship) of the individual or entity concerned or their records – this could be typically be done as part of the TCSP’s CDD process</w:t>
      </w:r>
      <w:r>
        <w:t>.</w:t>
      </w:r>
      <w:r w:rsidRPr="00927E84">
        <w:t xml:space="preserve"> </w:t>
      </w:r>
      <w:r w:rsidRPr="0076153C">
        <w:t>Nor</w:t>
      </w:r>
      <w:r w:rsidRPr="00927E84">
        <w:t>m</w:t>
      </w:r>
      <w:r w:rsidRPr="0076153C">
        <w:t>al</w:t>
      </w:r>
      <w:r w:rsidRPr="00927E84">
        <w:t xml:space="preserve"> </w:t>
      </w:r>
      <w:r w:rsidRPr="0076153C">
        <w:t>c</w:t>
      </w:r>
      <w:r w:rsidRPr="00927E84">
        <w:t>o</w:t>
      </w:r>
      <w:r w:rsidRPr="0076153C">
        <w:t>mm</w:t>
      </w:r>
      <w:r w:rsidRPr="00927E84">
        <w:t>e</w:t>
      </w:r>
      <w:r w:rsidRPr="0076153C">
        <w:t>rcial</w:t>
      </w:r>
      <w:r w:rsidRPr="00927E84">
        <w:t xml:space="preserve"> </w:t>
      </w:r>
      <w:r w:rsidRPr="0076153C">
        <w:t>e</w:t>
      </w:r>
      <w:r w:rsidRPr="00927E84">
        <w:t>n</w:t>
      </w:r>
      <w:r w:rsidRPr="0076153C">
        <w:t>quiries,</w:t>
      </w:r>
      <w:r w:rsidRPr="00927E84">
        <w:t xml:space="preserve"> </w:t>
      </w:r>
      <w:r w:rsidRPr="0076153C">
        <w:t>being made</w:t>
      </w:r>
      <w:r w:rsidRPr="00927E84">
        <w:t xml:space="preserve"> </w:t>
      </w:r>
      <w:r w:rsidRPr="0076153C">
        <w:t>to</w:t>
      </w:r>
      <w:r w:rsidRPr="00927E84">
        <w:t xml:space="preserve"> </w:t>
      </w:r>
      <w:r w:rsidRPr="0076153C">
        <w:t>fulfil</w:t>
      </w:r>
      <w:r w:rsidRPr="00927E84">
        <w:t xml:space="preserve"> </w:t>
      </w:r>
      <w:r w:rsidRPr="0076153C">
        <w:t>duties</w:t>
      </w:r>
      <w:r w:rsidRPr="00927E84">
        <w:t xml:space="preserve"> </w:t>
      </w:r>
      <w:r w:rsidRPr="0076153C">
        <w:t>to</w:t>
      </w:r>
      <w:r w:rsidRPr="00927E84">
        <w:t xml:space="preserve"> </w:t>
      </w:r>
      <w:r>
        <w:t>the trust, company or other legal entity with respect to which the TCSP provides services</w:t>
      </w:r>
      <w:r w:rsidRPr="0076153C">
        <w:t>,</w:t>
      </w:r>
      <w:r w:rsidRPr="00927E84">
        <w:t xml:space="preserve"> </w:t>
      </w:r>
      <w:r w:rsidRPr="0076153C">
        <w:t>may</w:t>
      </w:r>
      <w:r w:rsidRPr="00927E84">
        <w:t xml:space="preserve"> </w:t>
      </w:r>
      <w:r w:rsidRPr="0076153C">
        <w:t>assist</w:t>
      </w:r>
      <w:r w:rsidRPr="00927E84">
        <w:t xml:space="preserve"> </w:t>
      </w:r>
      <w:r w:rsidRPr="0076153C">
        <w:t>in</w:t>
      </w:r>
      <w:r w:rsidRPr="00927E84">
        <w:t xml:space="preserve"> </w:t>
      </w:r>
      <w:r w:rsidRPr="0076153C">
        <w:t>unde</w:t>
      </w:r>
      <w:r w:rsidRPr="00927E84">
        <w:t>r</w:t>
      </w:r>
      <w:r w:rsidRPr="0076153C">
        <w:t>standing</w:t>
      </w:r>
      <w:r w:rsidRPr="00927E84">
        <w:t xml:space="preserve"> </w:t>
      </w:r>
      <w:r w:rsidRPr="0076153C">
        <w:t>a</w:t>
      </w:r>
      <w:r>
        <w:t>n activity or transaction</w:t>
      </w:r>
      <w:r w:rsidRPr="00927E84">
        <w:t xml:space="preserve"> </w:t>
      </w:r>
      <w:r w:rsidRPr="0076153C">
        <w:t>to</w:t>
      </w:r>
      <w:r w:rsidRPr="00927E84">
        <w:t xml:space="preserve"> </w:t>
      </w:r>
      <w:r w:rsidRPr="0076153C">
        <w:t>de</w:t>
      </w:r>
      <w:r w:rsidRPr="00927E84">
        <w:t>t</w:t>
      </w:r>
      <w:r w:rsidRPr="0076153C">
        <w:t>e</w:t>
      </w:r>
      <w:r w:rsidRPr="00927E84">
        <w:t>rm</w:t>
      </w:r>
      <w:r w:rsidRPr="0076153C">
        <w:t>ine</w:t>
      </w:r>
      <w:r w:rsidRPr="00927E84">
        <w:t xml:space="preserve"> </w:t>
      </w:r>
      <w:r w:rsidRPr="0076153C">
        <w:t>whether</w:t>
      </w:r>
      <w:r w:rsidRPr="00927E84">
        <w:t xml:space="preserve"> </w:t>
      </w:r>
      <w:r w:rsidRPr="0076153C">
        <w:t>or</w:t>
      </w:r>
      <w:r w:rsidRPr="00927E84">
        <w:t xml:space="preserve"> </w:t>
      </w:r>
      <w:r w:rsidRPr="0076153C">
        <w:t>not</w:t>
      </w:r>
      <w:r w:rsidRPr="00927E84">
        <w:t xml:space="preserve"> </w:t>
      </w:r>
      <w:r w:rsidRPr="0076153C">
        <w:t>it</w:t>
      </w:r>
      <w:r w:rsidRPr="00927E84">
        <w:t xml:space="preserve"> i</w:t>
      </w:r>
      <w:r w:rsidRPr="0076153C">
        <w:t>s suspicious.</w:t>
      </w:r>
    </w:p>
    <w:p w14:paraId="2510CC4D" w14:textId="04A8F89B" w:rsidR="0098261F" w:rsidRPr="004A3128" w:rsidRDefault="0098261F" w:rsidP="00F53CA5">
      <w:pPr>
        <w:pStyle w:val="Heading3"/>
      </w:pPr>
      <w:bookmarkStart w:id="320" w:name="_Toc1994938"/>
      <w:r w:rsidRPr="004A3128">
        <w:rPr>
          <w:u w:color="000000"/>
        </w:rPr>
        <w:lastRenderedPageBreak/>
        <w:t>Suspicious</w:t>
      </w:r>
      <w:r w:rsidRPr="004A3128">
        <w:rPr>
          <w:spacing w:val="-10"/>
          <w:u w:color="000000"/>
        </w:rPr>
        <w:t xml:space="preserve"> </w:t>
      </w:r>
      <w:r w:rsidRPr="00F53CA5">
        <w:t>transaction</w:t>
      </w:r>
      <w:r w:rsidRPr="004A3128">
        <w:rPr>
          <w:spacing w:val="-5"/>
          <w:u w:color="000000"/>
        </w:rPr>
        <w:t xml:space="preserve"> </w:t>
      </w:r>
      <w:r w:rsidRPr="004A3128">
        <w:rPr>
          <w:u w:color="000000"/>
        </w:rPr>
        <w:t>report</w:t>
      </w:r>
      <w:r w:rsidRPr="004A3128">
        <w:rPr>
          <w:spacing w:val="-1"/>
          <w:u w:color="000000"/>
        </w:rPr>
        <w:t>i</w:t>
      </w:r>
      <w:r w:rsidRPr="004A3128">
        <w:rPr>
          <w:u w:color="000000"/>
        </w:rPr>
        <w:t>ng</w:t>
      </w:r>
      <w:r w:rsidR="006124E5">
        <w:rPr>
          <w:u w:color="000000"/>
        </w:rPr>
        <w:t>, tipping-off, internal controls and higher-risk countries (R.23)</w:t>
      </w:r>
      <w:bookmarkEnd w:id="320"/>
    </w:p>
    <w:p w14:paraId="6F41F271" w14:textId="1442E94A" w:rsidR="006124E5" w:rsidRPr="006124E5" w:rsidRDefault="006124E5" w:rsidP="00F53CA5">
      <w:pPr>
        <w:pStyle w:val="Para"/>
        <w:rPr>
          <w:rFonts w:eastAsia="Times New Roman"/>
        </w:rPr>
      </w:pPr>
      <w:r>
        <w:t xml:space="preserve">R.23 sets </w:t>
      </w:r>
      <w:r w:rsidRPr="00F53CA5">
        <w:t>out</w:t>
      </w:r>
      <w:r>
        <w:t xml:space="preserve"> obligations for TCSPs on reporting and tipping-off, internal controls and higher-risk countries (R.20, R.21, R.18 and R.19)</w:t>
      </w:r>
    </w:p>
    <w:p w14:paraId="50E0B9B8" w14:textId="4FA0981B" w:rsidR="006124E5" w:rsidRPr="006124E5" w:rsidRDefault="006124E5" w:rsidP="00F53CA5">
      <w:pPr>
        <w:pStyle w:val="Heading4"/>
        <w:rPr>
          <w:rFonts w:eastAsia="Times New Roman"/>
        </w:rPr>
      </w:pPr>
      <w:r w:rsidRPr="00845757">
        <w:t xml:space="preserve">Suspicious transaction reporting </w:t>
      </w:r>
      <w:r w:rsidRPr="00F53CA5">
        <w:t>and</w:t>
      </w:r>
      <w:r w:rsidRPr="00845757">
        <w:t xml:space="preserve"> tipping-off</w:t>
      </w:r>
      <w:r>
        <w:t xml:space="preserve"> (R.20</w:t>
      </w:r>
      <w:r w:rsidR="002D6773">
        <w:t>,</w:t>
      </w:r>
      <w:r w:rsidR="00A01FA2">
        <w:t xml:space="preserve"> </w:t>
      </w:r>
      <w:r w:rsidR="002D6773">
        <w:t>21 and 23</w:t>
      </w:r>
      <w:r>
        <w:t>)</w:t>
      </w:r>
    </w:p>
    <w:p w14:paraId="107A6C69" w14:textId="129DF585" w:rsidR="0098261F" w:rsidRPr="00F53CA5" w:rsidRDefault="0098261F" w:rsidP="00F53CA5">
      <w:pPr>
        <w:pStyle w:val="Para"/>
      </w:pPr>
      <w:r>
        <w:t xml:space="preserve">Where a legal or regulatory requirement mandates the reporting of suspicious activity once a suspicion has </w:t>
      </w:r>
      <w:r w:rsidRPr="00F53CA5">
        <w:t xml:space="preserve">been formed, a report must always be made promptly. The requirement to file a suspicious transaction report is not subject to a risk-based approach, but must be made promptly whenever required in the country concerned. </w:t>
      </w:r>
    </w:p>
    <w:p w14:paraId="439DA1BB" w14:textId="7F3D530F" w:rsidR="0098261F" w:rsidRPr="00F53CA5" w:rsidRDefault="0098261F" w:rsidP="00F53CA5">
      <w:pPr>
        <w:pStyle w:val="Para"/>
      </w:pPr>
      <w:r w:rsidRPr="00F53CA5">
        <w:t>TCSPs may be required to report suspicious activities, as well as specific suspicious transactions, and so may make reports on a number of scenarios including suspicious business structures or management profiles which have no legitimate economic rationale.</w:t>
      </w:r>
      <w:r w:rsidR="002D6773" w:rsidRPr="00F53CA5">
        <w:t xml:space="preserve"> As specified under IN</w:t>
      </w:r>
      <w:r w:rsidR="00C829DB">
        <w:t>R.</w:t>
      </w:r>
      <w:r w:rsidR="002D6773" w:rsidRPr="00F53CA5">
        <w:t>23, where TCSPs seek to dissuade a client from engaging in illegal activity, this does not amount to tipping-off.</w:t>
      </w:r>
    </w:p>
    <w:p w14:paraId="11525582" w14:textId="77777777" w:rsidR="0098261F" w:rsidRPr="00F53CA5" w:rsidRDefault="0098261F" w:rsidP="00F53CA5">
      <w:pPr>
        <w:pStyle w:val="Para"/>
      </w:pPr>
      <w:r w:rsidRPr="00F53CA5">
        <w:t>However, a RBA is appropriate for identifying a suspicious activity or transaction, by directing additional resources at those areas a TCSP has identified as higher risk. The designated competent authorities or SRBs may provide information to TCSPs, which will be useful to them to inform their approach for identifying suspicious activity or transactions, as part of a RBA. A TCSP should also periodically assess the adequacy of its system for identifying and reporting suspicious activity or transactions.</w:t>
      </w:r>
    </w:p>
    <w:p w14:paraId="1EA71626" w14:textId="77777777" w:rsidR="0098261F" w:rsidRPr="0076153C" w:rsidRDefault="0098261F" w:rsidP="00F53CA5">
      <w:pPr>
        <w:pStyle w:val="Para"/>
        <w:rPr>
          <w:rFonts w:eastAsia="Times New Roman"/>
        </w:rPr>
      </w:pPr>
      <w:r w:rsidRPr="00F53CA5">
        <w:t>TCSPs should review their existing CDD</w:t>
      </w:r>
      <w:r>
        <w:rPr>
          <w:rFonts w:eastAsia="Times New Roman"/>
        </w:rPr>
        <w:t xml:space="preserve"> if they have a suspicion of ML/TF.</w:t>
      </w:r>
    </w:p>
    <w:p w14:paraId="0B0972F2" w14:textId="784BE13B" w:rsidR="0098261F" w:rsidRPr="00927E84" w:rsidRDefault="0098261F" w:rsidP="00F53CA5">
      <w:pPr>
        <w:pStyle w:val="Heading4"/>
      </w:pPr>
      <w:bookmarkStart w:id="321" w:name="_Toc525561747"/>
      <w:bookmarkStart w:id="322" w:name="_Toc525562441"/>
      <w:r w:rsidRPr="00927E84">
        <w:t xml:space="preserve">Internal </w:t>
      </w:r>
      <w:r>
        <w:t>c</w:t>
      </w:r>
      <w:r w:rsidRPr="00927E84">
        <w:t>ontrols</w:t>
      </w:r>
      <w:r>
        <w:t xml:space="preserve"> and </w:t>
      </w:r>
      <w:r w:rsidRPr="00F53CA5">
        <w:t>compliance</w:t>
      </w:r>
      <w:bookmarkEnd w:id="321"/>
      <w:bookmarkEnd w:id="322"/>
      <w:r w:rsidR="006124E5">
        <w:t xml:space="preserve"> (R.18</w:t>
      </w:r>
      <w:r w:rsidR="002D6773">
        <w:t xml:space="preserve"> and 23</w:t>
      </w:r>
      <w:r w:rsidR="006124E5">
        <w:t>)</w:t>
      </w:r>
    </w:p>
    <w:p w14:paraId="048B57CE" w14:textId="77777777" w:rsidR="0098261F" w:rsidRPr="0076153C" w:rsidRDefault="0098261F" w:rsidP="00F53CA5">
      <w:pPr>
        <w:pStyle w:val="Para"/>
      </w:pPr>
      <w:r w:rsidRPr="0076153C">
        <w:t>In</w:t>
      </w:r>
      <w:r w:rsidRPr="00927E84">
        <w:t xml:space="preserve"> </w:t>
      </w:r>
      <w:r w:rsidRPr="0076153C">
        <w:t>order</w:t>
      </w:r>
      <w:r w:rsidRPr="00927E84">
        <w:t xml:space="preserve"> </w:t>
      </w:r>
      <w:r w:rsidRPr="0076153C">
        <w:t>for</w:t>
      </w:r>
      <w:r w:rsidRPr="00927E84">
        <w:t xml:space="preserve"> </w:t>
      </w:r>
      <w:r>
        <w:t xml:space="preserve">TCSPs </w:t>
      </w:r>
      <w:r w:rsidRPr="0076153C">
        <w:t>to</w:t>
      </w:r>
      <w:r w:rsidRPr="00927E84">
        <w:t xml:space="preserve"> </w:t>
      </w:r>
      <w:r w:rsidRPr="0076153C">
        <w:t>have</w:t>
      </w:r>
      <w:r w:rsidRPr="00927E84">
        <w:t xml:space="preserve"> </w:t>
      </w:r>
      <w:r>
        <w:t xml:space="preserve">an </w:t>
      </w:r>
      <w:r w:rsidRPr="0076153C">
        <w:t>effecti</w:t>
      </w:r>
      <w:r w:rsidRPr="00927E84">
        <w:t>v</w:t>
      </w:r>
      <w:r w:rsidRPr="0076153C">
        <w:t>e</w:t>
      </w:r>
      <w:r w:rsidRPr="00927E84">
        <w:t xml:space="preserve"> </w:t>
      </w:r>
      <w:r w:rsidRPr="0076153C">
        <w:t>ris</w:t>
      </w:r>
      <w:r w:rsidRPr="00927E84">
        <w:t>k</w:t>
      </w:r>
      <w:r w:rsidRPr="0076153C">
        <w:t>-based</w:t>
      </w:r>
      <w:r w:rsidRPr="00927E84">
        <w:t xml:space="preserve"> </w:t>
      </w:r>
      <w:r w:rsidRPr="0076153C">
        <w:t>approach, the</w:t>
      </w:r>
      <w:r w:rsidRPr="00927E84">
        <w:t xml:space="preserve"> </w:t>
      </w:r>
      <w:r w:rsidRPr="0076153C">
        <w:t>risk-based</w:t>
      </w:r>
      <w:r w:rsidRPr="00927E84">
        <w:t xml:space="preserve"> </w:t>
      </w:r>
      <w:r w:rsidRPr="0076153C">
        <w:t>process</w:t>
      </w:r>
      <w:r w:rsidRPr="00927E84">
        <w:t xml:space="preserve"> mu</w:t>
      </w:r>
      <w:r w:rsidRPr="0076153C">
        <w:t>st</w:t>
      </w:r>
      <w:r w:rsidRPr="00927E84">
        <w:t xml:space="preserve"> </w:t>
      </w:r>
      <w:r w:rsidRPr="0076153C">
        <w:t xml:space="preserve">be </w:t>
      </w:r>
      <w:r w:rsidRPr="00F53CA5">
        <w:t>embedded</w:t>
      </w:r>
      <w:r w:rsidRPr="00927E84">
        <w:t xml:space="preserve"> </w:t>
      </w:r>
      <w:r w:rsidRPr="0076153C">
        <w:t>within</w:t>
      </w:r>
      <w:r w:rsidRPr="00927E84">
        <w:t xml:space="preserve"> </w:t>
      </w:r>
      <w:r w:rsidRPr="0076153C">
        <w:t>the</w:t>
      </w:r>
      <w:r w:rsidRPr="00927E84">
        <w:t xml:space="preserve"> </w:t>
      </w:r>
      <w:r w:rsidRPr="0076153C">
        <w:t>internal</w:t>
      </w:r>
      <w:r w:rsidRPr="00927E84">
        <w:t xml:space="preserve"> </w:t>
      </w:r>
      <w:r w:rsidRPr="0076153C">
        <w:t>controls</w:t>
      </w:r>
      <w:r w:rsidRPr="00927E84">
        <w:t xml:space="preserve"> </w:t>
      </w:r>
      <w:r w:rsidRPr="0076153C">
        <w:t>of</w:t>
      </w:r>
      <w:r w:rsidRPr="00927E84">
        <w:t xml:space="preserve"> </w:t>
      </w:r>
      <w:r w:rsidRPr="0076153C">
        <w:t>the</w:t>
      </w:r>
      <w:r w:rsidRPr="00927E84">
        <w:t xml:space="preserve"> </w:t>
      </w:r>
      <w:r w:rsidRPr="0076153C">
        <w:t>fir</w:t>
      </w:r>
      <w:r w:rsidRPr="00927E84">
        <w:t>m</w:t>
      </w:r>
      <w:r>
        <w:t xml:space="preserve"> and they must be appropriate for the size and complexity of the firm</w:t>
      </w:r>
      <w:r w:rsidRPr="0076153C">
        <w:t>.</w:t>
      </w:r>
      <w:r w:rsidRPr="00927E84">
        <w:t xml:space="preserve"> </w:t>
      </w:r>
    </w:p>
    <w:p w14:paraId="70B41B8D" w14:textId="77777777" w:rsidR="0098261F" w:rsidRPr="00C61469" w:rsidRDefault="0098261F" w:rsidP="006124E5">
      <w:pPr>
        <w:pStyle w:val="Heading5"/>
        <w:rPr>
          <w:u w:val="single"/>
        </w:rPr>
      </w:pPr>
      <w:r w:rsidRPr="00C61469">
        <w:rPr>
          <w:u w:val="single"/>
        </w:rPr>
        <w:t>Internal controls and governance</w:t>
      </w:r>
    </w:p>
    <w:p w14:paraId="4891E662" w14:textId="77777777" w:rsidR="0098261F" w:rsidRPr="00F53CA5" w:rsidRDefault="0098261F" w:rsidP="00F53CA5">
      <w:pPr>
        <w:pStyle w:val="Para"/>
      </w:pPr>
      <w:r w:rsidRPr="0076153C">
        <w:t>Strong</w:t>
      </w:r>
      <w:r w:rsidRPr="00927E84">
        <w:t xml:space="preserve"> </w:t>
      </w:r>
      <w:r w:rsidRPr="0076153C">
        <w:t>senior</w:t>
      </w:r>
      <w:r w:rsidRPr="00927E84">
        <w:t xml:space="preserve"> m</w:t>
      </w:r>
      <w:r w:rsidRPr="0076153C">
        <w:t>anagement</w:t>
      </w:r>
      <w:r w:rsidRPr="00927E84">
        <w:t xml:space="preserve"> </w:t>
      </w:r>
      <w:r w:rsidRPr="0076153C">
        <w:t>leadership</w:t>
      </w:r>
      <w:r w:rsidRPr="00927E84">
        <w:t xml:space="preserve"> </w:t>
      </w:r>
      <w:r w:rsidRPr="0076153C">
        <w:t>and engagem</w:t>
      </w:r>
      <w:r w:rsidRPr="00927E84">
        <w:t>e</w:t>
      </w:r>
      <w:r w:rsidRPr="0076153C">
        <w:t>nt</w:t>
      </w:r>
      <w:r w:rsidRPr="00927E84">
        <w:t xml:space="preserve"> </w:t>
      </w:r>
      <w:r w:rsidRPr="0076153C">
        <w:t>in</w:t>
      </w:r>
      <w:r w:rsidRPr="00927E84">
        <w:t xml:space="preserve"> </w:t>
      </w:r>
      <w:r w:rsidRPr="0076153C">
        <w:t>AML/CFT</w:t>
      </w:r>
      <w:r w:rsidRPr="00927E84">
        <w:t xml:space="preserve"> </w:t>
      </w:r>
      <w:r w:rsidRPr="0076153C">
        <w:t>is</w:t>
      </w:r>
      <w:r w:rsidRPr="00927E84">
        <w:t xml:space="preserve"> </w:t>
      </w:r>
      <w:r w:rsidRPr="0076153C">
        <w:t>an</w:t>
      </w:r>
      <w:r w:rsidRPr="00927E84">
        <w:t xml:space="preserve"> </w:t>
      </w:r>
      <w:r w:rsidRPr="0076153C">
        <w:t>i</w:t>
      </w:r>
      <w:r w:rsidRPr="00927E84">
        <w:t>m</w:t>
      </w:r>
      <w:r w:rsidRPr="0076153C">
        <w:t>portant</w:t>
      </w:r>
      <w:r w:rsidRPr="00927E84">
        <w:t xml:space="preserve"> </w:t>
      </w:r>
      <w:r w:rsidRPr="0076153C">
        <w:t>aspect</w:t>
      </w:r>
      <w:r w:rsidRPr="00927E84">
        <w:t xml:space="preserve"> </w:t>
      </w:r>
      <w:r w:rsidRPr="0076153C">
        <w:t>of</w:t>
      </w:r>
      <w:r w:rsidRPr="00927E84">
        <w:t xml:space="preserve"> </w:t>
      </w:r>
      <w:r w:rsidRPr="0076153C">
        <w:t>the application</w:t>
      </w:r>
      <w:r w:rsidRPr="00927E84">
        <w:t xml:space="preserve"> </w:t>
      </w:r>
      <w:r w:rsidRPr="0076153C">
        <w:t>of</w:t>
      </w:r>
      <w:r w:rsidRPr="00927E84">
        <w:t xml:space="preserve"> </w:t>
      </w:r>
      <w:r w:rsidRPr="00F53CA5">
        <w:t>the risk-based approach. Senior management must create a culture of compliance, ensuring that staff adhere to the firm’s policies, procedures and processes designed to limit and control risks.</w:t>
      </w:r>
    </w:p>
    <w:p w14:paraId="204028AD" w14:textId="0B31D05D" w:rsidR="0098261F" w:rsidRPr="0076153C" w:rsidRDefault="004F63E8" w:rsidP="00F53CA5">
      <w:pPr>
        <w:pStyle w:val="Para"/>
      </w:pPr>
      <w:r w:rsidRPr="00F53CA5">
        <w:t>The nature and extent of the AML/CFT controls, as well as meeting national legal requirements, need to be proportionate to the risk involved in the services being offered. In addition to other complian</w:t>
      </w:r>
      <w:r w:rsidRPr="004F63E8">
        <w:t>ce internal controls, the nature and extent of AML/CFT controls will depend upon a number of factors, such as</w:t>
      </w:r>
      <w:r w:rsidR="0098261F" w:rsidRPr="0076153C">
        <w:t>:</w:t>
      </w:r>
    </w:p>
    <w:p w14:paraId="58653DFA" w14:textId="776F4E46" w:rsidR="0098261F" w:rsidRPr="00321AD3" w:rsidRDefault="0098261F" w:rsidP="00533ED1">
      <w:pPr>
        <w:pStyle w:val="BulletedList"/>
        <w:numPr>
          <w:ilvl w:val="0"/>
          <w:numId w:val="152"/>
        </w:numPr>
      </w:pPr>
      <w:r w:rsidRPr="00321AD3">
        <w:t>designating an individual, or individuals, at management level responsible for managing AML/CFT compliance</w:t>
      </w:r>
      <w:r w:rsidR="00494F6E">
        <w:t>;</w:t>
      </w:r>
    </w:p>
    <w:p w14:paraId="3F078473" w14:textId="3BFDF307" w:rsidR="0098261F" w:rsidRPr="00321AD3" w:rsidRDefault="0098261F" w:rsidP="00533ED1">
      <w:pPr>
        <w:pStyle w:val="BulletedList"/>
        <w:numPr>
          <w:ilvl w:val="0"/>
          <w:numId w:val="152"/>
        </w:numPr>
      </w:pPr>
      <w:r w:rsidRPr="00321AD3">
        <w:t>designing policies and procedures that focus resources on the firm’s higher-risk products, services, clients and geographic locations</w:t>
      </w:r>
      <w:r w:rsidR="000D1FCF" w:rsidRPr="00321AD3">
        <w:t xml:space="preserve">. These policies and procedures should be implemented across the firm by all service lines </w:t>
      </w:r>
      <w:r w:rsidRPr="00321AD3">
        <w:t>and include:</w:t>
      </w:r>
    </w:p>
    <w:p w14:paraId="1E710772" w14:textId="77777777" w:rsidR="0098261F" w:rsidRDefault="0098261F" w:rsidP="004D5252">
      <w:pPr>
        <w:pStyle w:val="BulletedList"/>
        <w:numPr>
          <w:ilvl w:val="3"/>
          <w:numId w:val="28"/>
        </w:numPr>
      </w:pPr>
      <w:r>
        <w:t>risk-based CDD policies, procedures and processes;</w:t>
      </w:r>
    </w:p>
    <w:p w14:paraId="7596C119" w14:textId="11133536" w:rsidR="0098261F" w:rsidRDefault="0098261F" w:rsidP="004D5252">
      <w:pPr>
        <w:pStyle w:val="BulletedList"/>
        <w:numPr>
          <w:ilvl w:val="3"/>
          <w:numId w:val="28"/>
        </w:numPr>
      </w:pPr>
      <w:r>
        <w:lastRenderedPageBreak/>
        <w:t xml:space="preserve">ensure that adequate controls are in place before new </w:t>
      </w:r>
      <w:r w:rsidR="00F439BC">
        <w:t>services</w:t>
      </w:r>
      <w:r>
        <w:t xml:space="preserve"> are offered; </w:t>
      </w:r>
      <w:r w:rsidR="00494F6E">
        <w:t>and</w:t>
      </w:r>
    </w:p>
    <w:p w14:paraId="08035511" w14:textId="7BAEE2DF" w:rsidR="0098261F" w:rsidRPr="00927E84" w:rsidRDefault="0098261F" w:rsidP="004D5252">
      <w:pPr>
        <w:pStyle w:val="BulletedList"/>
        <w:numPr>
          <w:ilvl w:val="3"/>
          <w:numId w:val="28"/>
        </w:numPr>
      </w:pPr>
      <w:r>
        <w:t xml:space="preserve">adequate controls for accepting higher risk clients or providing higher risk services, such as management approval; </w:t>
      </w:r>
    </w:p>
    <w:p w14:paraId="31480707" w14:textId="77777777" w:rsidR="0098261F" w:rsidRPr="00321AD3" w:rsidRDefault="0098261F" w:rsidP="00533ED1">
      <w:pPr>
        <w:pStyle w:val="BulletedList"/>
        <w:numPr>
          <w:ilvl w:val="0"/>
          <w:numId w:val="152"/>
        </w:numPr>
      </w:pPr>
      <w:r w:rsidRPr="00321AD3">
        <w:t>performing a regular review of the firm’s policies and procedures to ensure that they remain fit for purpose;</w:t>
      </w:r>
    </w:p>
    <w:p w14:paraId="3342683E" w14:textId="77777777" w:rsidR="0098261F" w:rsidRPr="00321AD3" w:rsidRDefault="0098261F" w:rsidP="00533ED1">
      <w:pPr>
        <w:pStyle w:val="BulletedList"/>
        <w:numPr>
          <w:ilvl w:val="0"/>
          <w:numId w:val="152"/>
        </w:numPr>
      </w:pPr>
      <w:r w:rsidRPr="00321AD3">
        <w:t xml:space="preserve">performing a regular compliance review that checks that staff are properly implementing the firm’s policies and procedures; </w:t>
      </w:r>
    </w:p>
    <w:p w14:paraId="15A5DE0E" w14:textId="77777777" w:rsidR="0098261F" w:rsidRPr="00321AD3" w:rsidRDefault="0098261F" w:rsidP="00533ED1">
      <w:pPr>
        <w:pStyle w:val="BulletedList"/>
        <w:numPr>
          <w:ilvl w:val="0"/>
          <w:numId w:val="152"/>
        </w:numPr>
      </w:pPr>
      <w:r w:rsidRPr="00321AD3">
        <w:t>providing senior management with a regular report of compliance initiatives, identify compliance deficiencies, corrective action taken, and suspicious transaction reports filed;</w:t>
      </w:r>
    </w:p>
    <w:p w14:paraId="17447629" w14:textId="77777777" w:rsidR="0098261F" w:rsidRPr="00321AD3" w:rsidRDefault="0098261F" w:rsidP="00533ED1">
      <w:pPr>
        <w:pStyle w:val="BulletedList"/>
        <w:numPr>
          <w:ilvl w:val="0"/>
          <w:numId w:val="152"/>
        </w:numPr>
      </w:pPr>
      <w:r w:rsidRPr="00321AD3">
        <w:t>planning for changes in management, staff or firm structure so that there is compliance continuity;</w:t>
      </w:r>
    </w:p>
    <w:p w14:paraId="3875C9C7" w14:textId="77777777" w:rsidR="0098261F" w:rsidRPr="00321AD3" w:rsidRDefault="0098261F" w:rsidP="00533ED1">
      <w:pPr>
        <w:pStyle w:val="BulletedList"/>
        <w:numPr>
          <w:ilvl w:val="0"/>
          <w:numId w:val="152"/>
        </w:numPr>
      </w:pPr>
      <w:r w:rsidRPr="00321AD3">
        <w:t>focusing on meeting all regulatory record keeping and reporting requirements, recommendations for AML/CFT compliance and provide for timely updates in response to changes in regulations;</w:t>
      </w:r>
    </w:p>
    <w:p w14:paraId="19CAAAB1" w14:textId="77777777" w:rsidR="0098261F" w:rsidRPr="00321AD3" w:rsidRDefault="0098261F" w:rsidP="00533ED1">
      <w:pPr>
        <w:pStyle w:val="BulletedList"/>
        <w:numPr>
          <w:ilvl w:val="0"/>
          <w:numId w:val="152"/>
        </w:numPr>
      </w:pPr>
      <w:r w:rsidRPr="00321AD3">
        <w:t>enabling the timely identification of reportable transactions and ensure accurate filing of required reports;</w:t>
      </w:r>
    </w:p>
    <w:p w14:paraId="0F030226" w14:textId="28ED1FA7" w:rsidR="0098261F" w:rsidRPr="00321AD3" w:rsidRDefault="0098261F" w:rsidP="00533ED1">
      <w:pPr>
        <w:pStyle w:val="BulletedList"/>
        <w:numPr>
          <w:ilvl w:val="0"/>
          <w:numId w:val="152"/>
        </w:numPr>
      </w:pPr>
      <w:r w:rsidRPr="00321AD3">
        <w:t xml:space="preserve">incorporating AML/CFT compliance into job descriptions and performance evaluations of appropriate personnel; </w:t>
      </w:r>
    </w:p>
    <w:p w14:paraId="017627FA" w14:textId="2BE404A3" w:rsidR="0098261F" w:rsidRDefault="0098261F" w:rsidP="00533ED1">
      <w:pPr>
        <w:pStyle w:val="BulletedList"/>
        <w:numPr>
          <w:ilvl w:val="0"/>
          <w:numId w:val="152"/>
        </w:numPr>
      </w:pPr>
      <w:r w:rsidRPr="00321AD3">
        <w:t>providing for appropriate training to be given to all relevant staff</w:t>
      </w:r>
      <w:r w:rsidR="004F63E8">
        <w:t>;</w:t>
      </w:r>
    </w:p>
    <w:p w14:paraId="69DCCD31" w14:textId="795E8E9C" w:rsidR="004F63E8" w:rsidRDefault="004F63E8" w:rsidP="00533ED1">
      <w:pPr>
        <w:pStyle w:val="BulletedList"/>
        <w:numPr>
          <w:ilvl w:val="0"/>
          <w:numId w:val="152"/>
        </w:numPr>
      </w:pPr>
      <w:r>
        <w:t>having appropriate risk management systems to determine whether a client, potential client, or beneficial owner is a PEP or a person subject to applicable financial sanctions;</w:t>
      </w:r>
    </w:p>
    <w:p w14:paraId="56B8BB1F" w14:textId="67DF92E4" w:rsidR="004F63E8" w:rsidRDefault="004F63E8" w:rsidP="00533ED1">
      <w:pPr>
        <w:pStyle w:val="BulletedList"/>
        <w:numPr>
          <w:ilvl w:val="0"/>
          <w:numId w:val="152"/>
        </w:numPr>
      </w:pPr>
      <w:r>
        <w:t>providing for adequate controls for higher risk clients and services as necessary (e.g. additional due diligence, escalation or additional review and/or consultation);</w:t>
      </w:r>
    </w:p>
    <w:p w14:paraId="07EF8ACD" w14:textId="518AC510" w:rsidR="004F63E8" w:rsidRDefault="004F63E8" w:rsidP="00533ED1">
      <w:pPr>
        <w:pStyle w:val="BulletedList"/>
        <w:numPr>
          <w:ilvl w:val="0"/>
          <w:numId w:val="152"/>
        </w:numPr>
      </w:pPr>
      <w:r>
        <w:t>providing increased focus on a TCSP’s operations (e.g. services, clients and geographic locations) that are more vulnerable to abuse for ML/TF;</w:t>
      </w:r>
    </w:p>
    <w:p w14:paraId="0BAC9B97" w14:textId="7179F1A8" w:rsidR="004F63E8" w:rsidRDefault="004F63E8" w:rsidP="00533ED1">
      <w:pPr>
        <w:pStyle w:val="BulletedList"/>
        <w:numPr>
          <w:ilvl w:val="0"/>
          <w:numId w:val="152"/>
        </w:numPr>
      </w:pPr>
      <w:r>
        <w:t>providing for periodic review of the risk assessment and management processes, taking into account the environment within which the TCSP operates and the services it provides; and</w:t>
      </w:r>
    </w:p>
    <w:p w14:paraId="6E38A40D" w14:textId="387EF6FB" w:rsidR="00BE4255" w:rsidRDefault="00BE4255" w:rsidP="00BE4255">
      <w:pPr>
        <w:pStyle w:val="BulletedList"/>
        <w:numPr>
          <w:ilvl w:val="0"/>
          <w:numId w:val="152"/>
        </w:numPr>
      </w:pPr>
      <w:r>
        <w:t xml:space="preserve">providing for an AML/CFT compliance function and review programme as appropriate given the scale </w:t>
      </w:r>
      <w:r w:rsidRPr="00F53CA5">
        <w:t>of the organisation and the nature of the TCSP’s practice.</w:t>
      </w:r>
    </w:p>
    <w:p w14:paraId="2CE84FD4" w14:textId="6582140F" w:rsidR="0098261F" w:rsidRPr="00F53CA5" w:rsidRDefault="00891C72" w:rsidP="00F53CA5">
      <w:pPr>
        <w:pStyle w:val="Para"/>
      </w:pPr>
      <w:r w:rsidRPr="00F53CA5">
        <w:t xml:space="preserve">TCSPs </w:t>
      </w:r>
      <w:r w:rsidR="0098261F" w:rsidRPr="00F53CA5">
        <w:t xml:space="preserve">should </w:t>
      </w:r>
      <w:r w:rsidRPr="00F53CA5">
        <w:t xml:space="preserve">review the </w:t>
      </w:r>
      <w:r w:rsidR="0098261F" w:rsidRPr="00F53CA5">
        <w:t xml:space="preserve">firm-wide risk assessment that takes into account the size and nature of the practice; the existence of high risk clients (if any); and the provision of high risk services (if any). Once completed, the firm wide risk assessment will assist the firm in designing its policies and procedures and in establishing the level of resources it will require to manage and mitigate the ML/TF risks. </w:t>
      </w:r>
    </w:p>
    <w:p w14:paraId="6A0C6D78" w14:textId="2E0647A3" w:rsidR="004F63E8" w:rsidRPr="00F53CA5" w:rsidRDefault="004F63E8" w:rsidP="00F53CA5">
      <w:pPr>
        <w:pStyle w:val="Para"/>
      </w:pPr>
      <w:r w:rsidRPr="00F53CA5">
        <w:t xml:space="preserve">TCSPs should consider using proven technology-driven solutions to minimise the risk of error and find efficiencies in their AML/CFT processes. As these solutions are likely to become more affordable, and more tailored to the TCSPs as they continue to develop, </w:t>
      </w:r>
      <w:r w:rsidRPr="00F53CA5">
        <w:lastRenderedPageBreak/>
        <w:t>this may be particularly important for smaller firms that may be less able to commit significant resources of time to these activities.</w:t>
      </w:r>
    </w:p>
    <w:p w14:paraId="674B3FB9" w14:textId="77777777" w:rsidR="0098261F" w:rsidRPr="006349BF" w:rsidRDefault="0098261F" w:rsidP="00F53CA5">
      <w:pPr>
        <w:pStyle w:val="Para"/>
      </w:pPr>
      <w:r w:rsidRPr="00F53CA5">
        <w:t>Depending on the assessed ML/TF risks, and the size of the firm, it may be possible to simplify both risk assessments and internal procedures. For example, for sole owner/proprietor firms, client acceptance may be reserved to the sole owner/proprietor taking into account their business and client knowledge and experience (which may be highly specialised). The involvement of the sole owner/proprietor ma</w:t>
      </w:r>
      <w:r w:rsidRPr="006349BF">
        <w:t>y also be required in detecting and assessing possible suspicious activities. For larger firms, more sophisticated procedures and risk assessments are likely to be necessary</w:t>
      </w:r>
      <w:r>
        <w:t>.</w:t>
      </w:r>
    </w:p>
    <w:p w14:paraId="0BDA03B6" w14:textId="77777777" w:rsidR="0098261F" w:rsidRPr="00C61469" w:rsidRDefault="0098261F" w:rsidP="00C61469">
      <w:pPr>
        <w:pStyle w:val="Heading5"/>
        <w:spacing w:before="120"/>
        <w:rPr>
          <w:u w:val="single"/>
        </w:rPr>
      </w:pPr>
      <w:r w:rsidRPr="00C61469">
        <w:rPr>
          <w:u w:val="single"/>
        </w:rPr>
        <w:t>Internal mechanisms to ensure compliance</w:t>
      </w:r>
    </w:p>
    <w:p w14:paraId="45CD183C" w14:textId="77777777" w:rsidR="0098261F" w:rsidRPr="00F53CA5" w:rsidRDefault="0098261F" w:rsidP="00F53CA5">
      <w:pPr>
        <w:pStyle w:val="Para"/>
      </w:pPr>
      <w:r w:rsidRPr="00440B41">
        <w:t>Th</w:t>
      </w:r>
      <w:r w:rsidRPr="00C041FA">
        <w:t xml:space="preserve">e </w:t>
      </w:r>
      <w:r>
        <w:t xml:space="preserve">TCSP </w:t>
      </w:r>
      <w:r w:rsidRPr="00C041FA">
        <w:t>(and where relevant senior management) should monitor effective</w:t>
      </w:r>
      <w:r>
        <w:t>ness of</w:t>
      </w:r>
      <w:r w:rsidRPr="00C041FA">
        <w:t xml:space="preserve"> its internal </w:t>
      </w:r>
      <w:r w:rsidRPr="00F53CA5">
        <w:t xml:space="preserve">controls. If the TCSP identifies any weaknesses in those internal controls, it should design improved procedures. </w:t>
      </w:r>
    </w:p>
    <w:p w14:paraId="68279BB2" w14:textId="77777777" w:rsidR="0098261F" w:rsidRPr="00F53CA5" w:rsidRDefault="0098261F" w:rsidP="00F53CA5">
      <w:pPr>
        <w:pStyle w:val="Para"/>
      </w:pPr>
      <w:r w:rsidRPr="00F53CA5">
        <w:t xml:space="preserve">The most effective tool to monitor the internal controls is a regular independent compliance review. A member of staff that has a good working knowledge of the firm’s AML/CFT internal control framework, policies and procedures and is sufficiently senior to challenge them should perform the review. The compliance review should include a review of CDD documentation to confirm that staff are properly applying the firm’s procedures. </w:t>
      </w:r>
    </w:p>
    <w:p w14:paraId="528CFD10" w14:textId="77777777" w:rsidR="0098261F" w:rsidRPr="00F53CA5" w:rsidRDefault="0098261F" w:rsidP="00F53CA5">
      <w:pPr>
        <w:pStyle w:val="Para"/>
      </w:pPr>
      <w:r w:rsidRPr="00F53CA5">
        <w:t xml:space="preserve">If the compliance review identifies areas of weakness and makes recommendations on how to improve the policies and procedures, then senior management should monitor how the firm is acting on those recommendations. </w:t>
      </w:r>
    </w:p>
    <w:p w14:paraId="05D54341" w14:textId="69673886" w:rsidR="0098261F" w:rsidRPr="00B53AE7" w:rsidRDefault="0098261F" w:rsidP="00F53CA5">
      <w:pPr>
        <w:pStyle w:val="Para"/>
        <w:rPr>
          <w:color w:val="000000"/>
          <w:szCs w:val="22"/>
        </w:rPr>
      </w:pPr>
      <w:r w:rsidRPr="00F53CA5">
        <w:t>The TCSP should consider its firm-wide risk assessment regularly and make sure that the policies and procedures continue</w:t>
      </w:r>
      <w:r w:rsidRPr="00440B41">
        <w:t xml:space="preserve"> to direct effort to those areas where risk</w:t>
      </w:r>
      <w:r w:rsidRPr="00B53AE7">
        <w:rPr>
          <w:szCs w:val="22"/>
        </w:rPr>
        <w:t xml:space="preserve"> of </w:t>
      </w:r>
      <w:r w:rsidR="003263BB">
        <w:rPr>
          <w:szCs w:val="22"/>
        </w:rPr>
        <w:t>ML/TF</w:t>
      </w:r>
      <w:r w:rsidRPr="00B53AE7">
        <w:rPr>
          <w:color w:val="000000"/>
          <w:szCs w:val="22"/>
        </w:rPr>
        <w:t xml:space="preserve"> is highest. </w:t>
      </w:r>
    </w:p>
    <w:p w14:paraId="6181D26D" w14:textId="77777777" w:rsidR="0098261F" w:rsidRPr="00C61469" w:rsidRDefault="0098261F" w:rsidP="00C61469">
      <w:pPr>
        <w:pStyle w:val="Heading5"/>
        <w:spacing w:before="120"/>
        <w:rPr>
          <w:u w:val="single"/>
        </w:rPr>
      </w:pPr>
      <w:r w:rsidRPr="00C61469">
        <w:rPr>
          <w:u w:val="single"/>
        </w:rPr>
        <w:t>Vetting, recruitment and remuneration</w:t>
      </w:r>
    </w:p>
    <w:p w14:paraId="5AB3C055" w14:textId="1D48EEE1" w:rsidR="0098261F" w:rsidRPr="00C61469" w:rsidRDefault="0098261F" w:rsidP="00F53CA5">
      <w:pPr>
        <w:pStyle w:val="Para"/>
      </w:pPr>
      <w:r w:rsidRPr="0009585E">
        <w:rPr>
          <w:iCs/>
        </w:rPr>
        <w:t>TCSPs</w:t>
      </w:r>
      <w:r>
        <w:rPr>
          <w:i/>
          <w:iCs/>
        </w:rPr>
        <w:t xml:space="preserve"> </w:t>
      </w:r>
      <w:r>
        <w:t xml:space="preserve">should consider the skills, knowledge and experience of staff both before they appointed to their </w:t>
      </w:r>
      <w:r w:rsidRPr="00B53AE7">
        <w:rPr>
          <w:rFonts w:eastAsia="Times New Roman"/>
          <w:szCs w:val="22"/>
        </w:rPr>
        <w:t>role</w:t>
      </w:r>
      <w:r>
        <w:rPr>
          <w:rFonts w:eastAsia="Times New Roman"/>
          <w:szCs w:val="22"/>
        </w:rPr>
        <w:t xml:space="preserve"> </w:t>
      </w:r>
      <w:r>
        <w:rPr>
          <w:szCs w:val="22"/>
        </w:rPr>
        <w:t>and on an ongoing basis</w:t>
      </w:r>
      <w:r>
        <w:t xml:space="preserve">. The level of </w:t>
      </w:r>
      <w:r w:rsidRPr="00440B41">
        <w:rPr>
          <w:rFonts w:eastAsia="Times New Roman"/>
        </w:rPr>
        <w:t>assessment</w:t>
      </w:r>
      <w:r>
        <w:t xml:space="preserve"> should be proportionate to their role in the firm and the ML/TF risks they may encounter.</w:t>
      </w:r>
      <w:r w:rsidR="00412998">
        <w:t xml:space="preserve"> </w:t>
      </w:r>
      <w:r w:rsidR="00CC7A09">
        <w:rPr>
          <w:szCs w:val="22"/>
        </w:rPr>
        <w:t>Assessment may include criminal records checking and other forms of pre-employment screening such as credit reference checks (as permitted under national legislation) for key staff positions.</w:t>
      </w:r>
    </w:p>
    <w:p w14:paraId="6391B6D8" w14:textId="5CC17FC1" w:rsidR="0098261F" w:rsidRPr="00C61469" w:rsidRDefault="002D6773" w:rsidP="006124E5">
      <w:pPr>
        <w:pStyle w:val="Heading5"/>
        <w:rPr>
          <w:u w:val="single"/>
        </w:rPr>
      </w:pPr>
      <w:r>
        <w:rPr>
          <w:u w:val="single"/>
        </w:rPr>
        <w:t>Education, t</w:t>
      </w:r>
      <w:r w:rsidR="0098261F" w:rsidRPr="00C61469">
        <w:rPr>
          <w:u w:val="single"/>
        </w:rPr>
        <w:t>raining</w:t>
      </w:r>
      <w:r w:rsidR="0098261F" w:rsidRPr="00C61469">
        <w:rPr>
          <w:spacing w:val="-8"/>
          <w:u w:val="single"/>
        </w:rPr>
        <w:t xml:space="preserve"> </w:t>
      </w:r>
      <w:r w:rsidR="0098261F" w:rsidRPr="00C61469">
        <w:rPr>
          <w:u w:val="single"/>
        </w:rPr>
        <w:t>and</w:t>
      </w:r>
      <w:r w:rsidR="0098261F" w:rsidRPr="00C61469">
        <w:rPr>
          <w:spacing w:val="-5"/>
          <w:u w:val="single"/>
        </w:rPr>
        <w:t xml:space="preserve"> </w:t>
      </w:r>
      <w:r w:rsidR="0098261F" w:rsidRPr="00C61469">
        <w:rPr>
          <w:u w:val="single"/>
        </w:rPr>
        <w:t>awa</w:t>
      </w:r>
      <w:r w:rsidR="0098261F" w:rsidRPr="00C61469">
        <w:rPr>
          <w:spacing w:val="1"/>
          <w:u w:val="single"/>
        </w:rPr>
        <w:t>r</w:t>
      </w:r>
      <w:r w:rsidR="0098261F" w:rsidRPr="00C61469">
        <w:rPr>
          <w:u w:val="single"/>
        </w:rPr>
        <w:t>eness</w:t>
      </w:r>
    </w:p>
    <w:p w14:paraId="65FBE070" w14:textId="77777777" w:rsidR="00412998" w:rsidRPr="00F53CA5" w:rsidRDefault="004F63E8" w:rsidP="00F53CA5">
      <w:pPr>
        <w:pStyle w:val="Para"/>
      </w:pPr>
      <w:r w:rsidRPr="004F63E8">
        <w:t xml:space="preserve">R.18 requires that </w:t>
      </w:r>
      <w:r>
        <w:t>TCSPs</w:t>
      </w:r>
      <w:r w:rsidRPr="004F63E8">
        <w:t xml:space="preserve"> provide their staff with AML/CFT training. For </w:t>
      </w:r>
      <w:r>
        <w:t>TCSPs</w:t>
      </w:r>
      <w:r w:rsidRPr="004F63E8">
        <w:t xml:space="preserve">, and those </w:t>
      </w:r>
      <w:r w:rsidRPr="00F53CA5">
        <w:t xml:space="preserve">in smaller firms in particular, such training may also assist with raising awareness of monitoring obligations. A TCSP’s commitment to having appropriate controls in place relies fundamentally on both training and awareness. This requires a firm-wide effort to provide all relevant staff with at least general information on AML/CFT laws, regulations and internal policies. </w:t>
      </w:r>
    </w:p>
    <w:p w14:paraId="3EFAB35E" w14:textId="77777777" w:rsidR="00412998" w:rsidRPr="00F53CA5" w:rsidRDefault="004F63E8" w:rsidP="00F53CA5">
      <w:pPr>
        <w:pStyle w:val="Para"/>
      </w:pPr>
      <w:r w:rsidRPr="00F53CA5">
        <w:t xml:space="preserve">Firms should provide targeted training for increased awareness by the </w:t>
      </w:r>
      <w:r w:rsidR="00D50A83" w:rsidRPr="00F53CA5">
        <w:t>TCSPs</w:t>
      </w:r>
      <w:r w:rsidRPr="00F53CA5">
        <w:t xml:space="preserve"> providing specified activities to higher risk clients or to </w:t>
      </w:r>
      <w:r w:rsidR="00D50A83" w:rsidRPr="00F53CA5">
        <w:t>TCSPs</w:t>
      </w:r>
      <w:r w:rsidRPr="00F53CA5">
        <w:t xml:space="preserve"> undertaking higher risk work.  Case studies (both fact-based and hypotheticals) are a good way of bringing the regulations to life and making them more comprehensible. </w:t>
      </w:r>
      <w:r w:rsidR="00412998" w:rsidRPr="00F53CA5">
        <w:t>Training should also be targeted towards the role the individual performs in the AML/CFT process. This could include false documentation training for those undertaking identification and verification duties, or training regarding red flags for those undertaking client/transactional risk assessment.</w:t>
      </w:r>
    </w:p>
    <w:p w14:paraId="50ADF732" w14:textId="272FE5A8" w:rsidR="004F63E8" w:rsidRPr="00F53CA5" w:rsidRDefault="004F63E8" w:rsidP="00F53CA5">
      <w:pPr>
        <w:pStyle w:val="Para"/>
      </w:pPr>
      <w:r w:rsidRPr="00F53CA5">
        <w:lastRenderedPageBreak/>
        <w:t xml:space="preserve">In line with a RBA, particular attention should be given to risk factors or circumstances occurring in TCSP’s own practice. In addition, competent authorities, SRBs and representative bodies should work with educational institutions to ensure that the curriculum addresses ML/TF risks. The same training should also be made available for students taking courses to train to become TCSPs. </w:t>
      </w:r>
    </w:p>
    <w:p w14:paraId="68205807" w14:textId="6B9510AF" w:rsidR="0098261F" w:rsidRDefault="0098261F" w:rsidP="00F53CA5">
      <w:pPr>
        <w:pStyle w:val="Para"/>
      </w:pPr>
      <w:r w:rsidRPr="00F53CA5">
        <w:t>TCSPs must periodically provide their employees with appropriate AML/CFT training. In ensuring compliance with this</w:t>
      </w:r>
      <w:r w:rsidRPr="00927E84">
        <w:t xml:space="preserve"> requirement, </w:t>
      </w:r>
      <w:r>
        <w:t xml:space="preserve">TCSPs </w:t>
      </w:r>
      <w:r w:rsidRPr="00927E84">
        <w:t>may take account of AML/CFT training included in entry requirements and continuing professional development requirements for their professional staff. They must also ensure appropriate training for any relevant staff without a professional qualification, at a level appropriate to the functions being undertaken by those staff, and the likelihood of their encountering suspicious activities.</w:t>
      </w:r>
    </w:p>
    <w:p w14:paraId="3BDE0366" w14:textId="77777777" w:rsidR="0098261F" w:rsidRPr="00F53CA5" w:rsidRDefault="0098261F" w:rsidP="00F53CA5">
      <w:pPr>
        <w:pStyle w:val="Para"/>
      </w:pPr>
      <w:r>
        <w:t xml:space="preserve">Where the TCSP </w:t>
      </w:r>
      <w:r w:rsidRPr="00F53CA5">
        <w:t>has identified departments or services lines to be at higher risk of being used for ML/TF, the TCSP should consider whether the staff in those departments or service lines would benefit from additional training.</w:t>
      </w:r>
    </w:p>
    <w:p w14:paraId="4F352763" w14:textId="77777777" w:rsidR="0098261F" w:rsidRPr="00A946D5" w:rsidRDefault="0098261F" w:rsidP="00F53CA5">
      <w:pPr>
        <w:pStyle w:val="Para"/>
      </w:pPr>
      <w:r w:rsidRPr="00F53CA5">
        <w:t>The overall risk-based approach and the various methods available for training and education gives TCSPs flexibility regarding the frequency, delivery mechanisms and focus of such training. TCSPs should review their own staff and available resources and implement training programs that provide</w:t>
      </w:r>
      <w:r w:rsidRPr="00A946D5">
        <w:t xml:space="preserve"> appropriate AML/CFT information that is:</w:t>
      </w:r>
    </w:p>
    <w:p w14:paraId="4534D7CF" w14:textId="77777777" w:rsidR="0098261F" w:rsidRPr="00732E5A" w:rsidRDefault="0098261F" w:rsidP="00533ED1">
      <w:pPr>
        <w:pStyle w:val="BulletedList"/>
        <w:numPr>
          <w:ilvl w:val="0"/>
          <w:numId w:val="153"/>
        </w:numPr>
      </w:pPr>
      <w:r>
        <w:t>t</w:t>
      </w:r>
      <w:r w:rsidRPr="00732E5A">
        <w:t>ailored to the relevant staff responsibility (</w:t>
      </w:r>
      <w:r w:rsidRPr="00436E6D">
        <w:t>e.g.</w:t>
      </w:r>
      <w:r w:rsidRPr="00732E5A">
        <w:t xml:space="preserve"> client contact or administration)</w:t>
      </w:r>
      <w:r>
        <w:t>;</w:t>
      </w:r>
    </w:p>
    <w:p w14:paraId="1747E7AF" w14:textId="041ADA74" w:rsidR="0098261F" w:rsidRPr="00732E5A" w:rsidRDefault="0098261F" w:rsidP="00533ED1">
      <w:pPr>
        <w:pStyle w:val="BulletedList"/>
        <w:numPr>
          <w:ilvl w:val="0"/>
          <w:numId w:val="153"/>
        </w:numPr>
      </w:pPr>
      <w:r>
        <w:t>a</w:t>
      </w:r>
      <w:r w:rsidRPr="00732E5A">
        <w:t xml:space="preserve">t the appropriate level of detail (e.g. considering the nature of services provided by the </w:t>
      </w:r>
      <w:r w:rsidR="00775D30">
        <w:t>TCSP</w:t>
      </w:r>
      <w:r w:rsidRPr="00732E5A">
        <w:t>)</w:t>
      </w:r>
      <w:r>
        <w:t>;</w:t>
      </w:r>
    </w:p>
    <w:p w14:paraId="3C8FE2FD" w14:textId="153B53E8" w:rsidR="0098261F" w:rsidRDefault="0098261F" w:rsidP="00533ED1">
      <w:pPr>
        <w:pStyle w:val="BulletedList"/>
        <w:numPr>
          <w:ilvl w:val="0"/>
          <w:numId w:val="153"/>
        </w:numPr>
      </w:pPr>
      <w:r>
        <w:t>a</w:t>
      </w:r>
      <w:r w:rsidRPr="00732E5A">
        <w:t xml:space="preserve">t a frequency suitable to the risk level of the type of work undertaken by the </w:t>
      </w:r>
      <w:r w:rsidR="00775D30">
        <w:t>TCSP</w:t>
      </w:r>
      <w:r>
        <w:t>; and</w:t>
      </w:r>
    </w:p>
    <w:p w14:paraId="7703E983" w14:textId="77777777" w:rsidR="0098261F" w:rsidRPr="00A751BA" w:rsidRDefault="0098261F" w:rsidP="00533ED1">
      <w:pPr>
        <w:pStyle w:val="BulletedList"/>
        <w:numPr>
          <w:ilvl w:val="0"/>
          <w:numId w:val="153"/>
        </w:numPr>
      </w:pPr>
      <w:r>
        <w:t>u</w:t>
      </w:r>
      <w:r w:rsidRPr="00732E5A">
        <w:t>sed to test to assess staff knowledge of the information provided.</w:t>
      </w:r>
    </w:p>
    <w:p w14:paraId="40153F99" w14:textId="17E091B5" w:rsidR="006124E5" w:rsidRPr="00C61469" w:rsidRDefault="006124E5" w:rsidP="006124E5">
      <w:pPr>
        <w:pStyle w:val="Heading5"/>
        <w:rPr>
          <w:u w:val="single"/>
        </w:rPr>
      </w:pPr>
      <w:bookmarkStart w:id="323" w:name="_Toc525561748"/>
      <w:bookmarkStart w:id="324" w:name="_Toc525562442"/>
      <w:r w:rsidRPr="00C61469">
        <w:rPr>
          <w:u w:val="single"/>
        </w:rPr>
        <w:t>Higher-risk countries (R.19</w:t>
      </w:r>
      <w:r w:rsidR="002D6773">
        <w:rPr>
          <w:u w:val="single"/>
        </w:rPr>
        <w:t xml:space="preserve"> and 23</w:t>
      </w:r>
      <w:r w:rsidRPr="00C61469">
        <w:rPr>
          <w:u w:val="single"/>
        </w:rPr>
        <w:t>)</w:t>
      </w:r>
    </w:p>
    <w:p w14:paraId="75AD2811" w14:textId="064EF4A5" w:rsidR="00D402C2" w:rsidRDefault="006124E5" w:rsidP="00F53CA5">
      <w:pPr>
        <w:pStyle w:val="Para"/>
        <w:rPr>
          <w:b/>
          <w:bCs/>
          <w:color w:val="4E81BD"/>
          <w:kern w:val="28"/>
          <w:sz w:val="24"/>
          <w:lang w:eastAsia="zh-CN"/>
        </w:rPr>
      </w:pPr>
      <w:r>
        <w:t xml:space="preserve">Consistent with R.19, TCSPs should apply enhanced due diligence measures (also see paragraph </w:t>
      </w:r>
      <w:r w:rsidR="009464FB">
        <w:t>69</w:t>
      </w:r>
      <w:r>
        <w:t xml:space="preserve">), proportionate to the risks, to business relationships </w:t>
      </w:r>
      <w:r w:rsidRPr="00440B41">
        <w:rPr>
          <w:rFonts w:eastAsia="Times New Roman"/>
        </w:rPr>
        <w:t>and</w:t>
      </w:r>
      <w:r>
        <w:t xml:space="preserve"> transactions with clients from countries for which this is called for by the FATF. </w:t>
      </w:r>
    </w:p>
    <w:p w14:paraId="6C222C1E" w14:textId="43E2FA67" w:rsidR="0098261F" w:rsidRDefault="0098261F" w:rsidP="00F53CA5">
      <w:pPr>
        <w:pStyle w:val="Heading1"/>
        <w:rPr>
          <w:lang w:eastAsia="zh-CN"/>
        </w:rPr>
      </w:pPr>
      <w:bookmarkStart w:id="325" w:name="_Toc1994939"/>
      <w:r>
        <w:rPr>
          <w:lang w:eastAsia="zh-CN"/>
        </w:rPr>
        <w:t xml:space="preserve">Section IV – Guidance for </w:t>
      </w:r>
      <w:r w:rsidRPr="00F53CA5">
        <w:t>supervisors</w:t>
      </w:r>
      <w:bookmarkEnd w:id="323"/>
      <w:bookmarkEnd w:id="324"/>
      <w:bookmarkEnd w:id="325"/>
    </w:p>
    <w:p w14:paraId="76035988" w14:textId="523031B5" w:rsidR="0098261F" w:rsidRDefault="00891C72" w:rsidP="00F53CA5">
      <w:pPr>
        <w:pStyle w:val="Para"/>
      </w:pPr>
      <w:r w:rsidRPr="00E913B6">
        <w:t xml:space="preserve">A risk-based approach to AML/CFT means that measures taken to reduce ML/TF are proportionate to the risks. Supervisors and SRBs should supervise more effectively by allocating resource to areas of higher ML/TF risk. </w:t>
      </w:r>
      <w:r w:rsidR="00187A3C">
        <w:t xml:space="preserve">R.28 requires that TCSPs are subject to adequate </w:t>
      </w:r>
      <w:r w:rsidR="00187A3C" w:rsidRPr="00F53CA5">
        <w:t>AML</w:t>
      </w:r>
      <w:r w:rsidR="00187A3C">
        <w:t xml:space="preserve">/CFT regulation and supervision. </w:t>
      </w:r>
      <w:r w:rsidRPr="00E913B6">
        <w:t xml:space="preserve">While it is each country’s responsibility to ensure there is an adequate national framework in place in relation to regulation and supervision of </w:t>
      </w:r>
      <w:r w:rsidR="00230D8E">
        <w:t>TCSPs</w:t>
      </w:r>
      <w:r w:rsidRPr="00E913B6">
        <w:t>, any relevant supervisors and SRBs should have a clear understanding of the ML/TF risks present in the relevant jurisdiction.</w:t>
      </w:r>
      <w:r>
        <w:rPr>
          <w:rStyle w:val="FootnoteReference"/>
          <w:rFonts w:eastAsia="Times New Roman"/>
        </w:rPr>
        <w:footnoteReference w:id="24"/>
      </w:r>
      <w:r>
        <w:t xml:space="preserve"> </w:t>
      </w:r>
      <w:r w:rsidR="0098261F">
        <w:t xml:space="preserve">The RBA to AML/CFT aims to develop prevention or mitigation measures which are commensurate </w:t>
      </w:r>
      <w:r w:rsidR="0098261F">
        <w:lastRenderedPageBreak/>
        <w:t xml:space="preserve">with the ML/TF risks identified. This applies to the way supervisory authorities allocate their resources. </w:t>
      </w:r>
    </w:p>
    <w:p w14:paraId="080DBB78" w14:textId="1CB45070" w:rsidR="00290FC1" w:rsidRDefault="0098261F" w:rsidP="00F53CA5">
      <w:pPr>
        <w:pStyle w:val="Heading2"/>
      </w:pPr>
      <w:bookmarkStart w:id="326" w:name="_Toc525561749"/>
      <w:bookmarkStart w:id="327" w:name="_Toc525562443"/>
      <w:bookmarkStart w:id="328" w:name="_Toc1994940"/>
      <w:r>
        <w:t xml:space="preserve">The risk-based approach to </w:t>
      </w:r>
      <w:r w:rsidRPr="00F53CA5">
        <w:t>supervision</w:t>
      </w:r>
      <w:bookmarkStart w:id="329" w:name="_Toc530407856"/>
      <w:bookmarkStart w:id="330" w:name="_Toc530408045"/>
      <w:bookmarkStart w:id="331" w:name="_Toc525561750"/>
      <w:bookmarkStart w:id="332" w:name="_Toc525562444"/>
      <w:bookmarkEnd w:id="326"/>
      <w:bookmarkEnd w:id="327"/>
      <w:bookmarkEnd w:id="329"/>
      <w:bookmarkEnd w:id="330"/>
      <w:bookmarkEnd w:id="328"/>
    </w:p>
    <w:p w14:paraId="3395E21B" w14:textId="670EEF2F" w:rsidR="0098261F" w:rsidRPr="002C758C" w:rsidRDefault="002E080F" w:rsidP="00F53CA5">
      <w:pPr>
        <w:pStyle w:val="Heading3"/>
        <w:rPr>
          <w:lang w:eastAsia="en-GB"/>
        </w:rPr>
      </w:pPr>
      <w:bookmarkStart w:id="333" w:name="_Toc1994941"/>
      <w:bookmarkEnd w:id="331"/>
      <w:bookmarkEnd w:id="332"/>
      <w:r>
        <w:rPr>
          <w:lang w:eastAsia="en-GB"/>
        </w:rPr>
        <w:t>Supervisors/</w:t>
      </w:r>
      <w:r w:rsidRPr="002C758C">
        <w:rPr>
          <w:lang w:eastAsia="en-GB"/>
        </w:rPr>
        <w:t>SRBs</w:t>
      </w:r>
      <w:r w:rsidR="00ED0CDE" w:rsidRPr="002C758C">
        <w:rPr>
          <w:lang w:eastAsia="en-GB"/>
        </w:rPr>
        <w:t xml:space="preserve">’ </w:t>
      </w:r>
      <w:r w:rsidR="00ED0CDE">
        <w:rPr>
          <w:lang w:eastAsia="en-GB"/>
        </w:rPr>
        <w:t>r</w:t>
      </w:r>
      <w:r w:rsidR="00ED0CDE" w:rsidRPr="002C758C">
        <w:rPr>
          <w:lang w:eastAsia="en-GB"/>
        </w:rPr>
        <w:t xml:space="preserve">ole in </w:t>
      </w:r>
      <w:r w:rsidR="00ED0CDE" w:rsidRPr="00F53CA5">
        <w:t>supervision</w:t>
      </w:r>
      <w:r w:rsidR="00ED0CDE" w:rsidRPr="002C758C">
        <w:rPr>
          <w:lang w:eastAsia="en-GB"/>
        </w:rPr>
        <w:t xml:space="preserve"> and monitoring</w:t>
      </w:r>
      <w:bookmarkEnd w:id="333"/>
    </w:p>
    <w:p w14:paraId="180FF9A8" w14:textId="3DFC6CCA" w:rsidR="0098261F" w:rsidRPr="00F53CA5" w:rsidRDefault="0098261F" w:rsidP="00F53CA5">
      <w:pPr>
        <w:pStyle w:val="Para"/>
      </w:pPr>
      <w:r w:rsidRPr="001E654F">
        <w:t xml:space="preserve">According to </w:t>
      </w:r>
      <w:r w:rsidRPr="00F53CA5">
        <w:t xml:space="preserve">R.28, countries can ensure that DNFBPs are subject to effective oversight through the supervision performed by a SRB. </w:t>
      </w:r>
    </w:p>
    <w:p w14:paraId="37E95F53" w14:textId="7338D70D" w:rsidR="0098261F" w:rsidRPr="001E654F" w:rsidRDefault="0098261F" w:rsidP="00F53CA5">
      <w:pPr>
        <w:pStyle w:val="Para"/>
      </w:pPr>
      <w:r w:rsidRPr="00F53CA5">
        <w:t>A SRB is body representing a</w:t>
      </w:r>
      <w:r w:rsidRPr="001E654F">
        <w:t xml:space="preserve"> profession (e.g. </w:t>
      </w:r>
      <w:r w:rsidR="00A1312F" w:rsidRPr="001E654F">
        <w:t>legal professionals</w:t>
      </w:r>
      <w:r w:rsidRPr="001E654F">
        <w:t xml:space="preserve">, notaries, other independent legal professionals or accountants), made up of member professionals, which has a role (either exclusive or in conjunction with other entities) in regulating the persons that are qualified to enter and </w:t>
      </w:r>
      <w:r w:rsidR="00290FC1" w:rsidRPr="001E654F">
        <w:t xml:space="preserve">to </w:t>
      </w:r>
      <w:r w:rsidRPr="001E654F">
        <w:t xml:space="preserve">practise in the profession. A SRB also performs supervisory or monitoring functions (e.g. to enforce rules to ensure that high ethical and moral standards are maintained by those practising the profession). </w:t>
      </w:r>
    </w:p>
    <w:p w14:paraId="0EFABCF6" w14:textId="77777777" w:rsidR="0098261F" w:rsidRPr="00F53CA5" w:rsidRDefault="0098261F" w:rsidP="00F53CA5">
      <w:pPr>
        <w:pStyle w:val="Para"/>
      </w:pPr>
      <w:r w:rsidRPr="001E654F">
        <w:t xml:space="preserve">SRBs should </w:t>
      </w:r>
      <w:r w:rsidRPr="00F53CA5">
        <w:t xml:space="preserve">have adequate power to perform their supervisory functions (including powers to monitor and sanction), and adequate financial, human and technical resources. SRBs should determine the frequency and intensity of their supervisory or monitoring actions on TCSPs on the basis of their understanding of the ML/TF risks, and taking into consideration the characteristics of the TCSPs, in particular their diversity and number. </w:t>
      </w:r>
    </w:p>
    <w:p w14:paraId="442FD99F" w14:textId="1C83D306" w:rsidR="0098261F" w:rsidRPr="00F53CA5" w:rsidRDefault="0098261F" w:rsidP="00F53CA5">
      <w:pPr>
        <w:pStyle w:val="Para"/>
      </w:pPr>
      <w:r w:rsidRPr="00F53CA5">
        <w:t xml:space="preserve">Countries should ensure that a SRB is equipped in identifying and sanctioning non-compliance by its members. Countries should also ensure that SRBs are well-informed about the importance of AML/CFT supervision, including enforcement actions as needed. </w:t>
      </w:r>
    </w:p>
    <w:p w14:paraId="22C03BF9" w14:textId="2B0B2F3E" w:rsidR="008D4FCD" w:rsidRPr="00F53CA5" w:rsidRDefault="0098261F" w:rsidP="00F53CA5">
      <w:pPr>
        <w:pStyle w:val="Para"/>
      </w:pPr>
      <w:r w:rsidRPr="00F53CA5">
        <w:t>Countries should also address the risk that AML/CFT supervision by SRBs could be hampered by conflicting objectives pertaining to the SRB’s role in representing their members, which the SRB is also obligated to supervise.</w:t>
      </w:r>
      <w:r w:rsidR="00412998" w:rsidRPr="00F53CA5">
        <w:t xml:space="preserve"> </w:t>
      </w:r>
      <w:r w:rsidR="008D4FCD" w:rsidRPr="00F53CA5">
        <w:t>If a SRB contains members of the supervised population, or represents those people, the relevant person should not continue to take part in the monitoring/ supervision of their practice/law firm to avoid conflicts of interest.</w:t>
      </w:r>
    </w:p>
    <w:p w14:paraId="22082E6B" w14:textId="2683A0E5" w:rsidR="008D4FCD" w:rsidRPr="008D4FCD" w:rsidRDefault="008D4FCD" w:rsidP="00F53CA5">
      <w:pPr>
        <w:pStyle w:val="Para"/>
        <w:rPr>
          <w:szCs w:val="22"/>
          <w:lang w:eastAsia="en-GB"/>
        </w:rPr>
      </w:pPr>
      <w:r w:rsidRPr="00F53CA5">
        <w:t>Supervisors and SRBs</w:t>
      </w:r>
      <w:r w:rsidRPr="008D4FCD">
        <w:rPr>
          <w:szCs w:val="22"/>
          <w:lang w:eastAsia="en-GB"/>
        </w:rPr>
        <w:t xml:space="preserve"> should clearly allocate responsibility for managing AML/CFT related activity, where they are also responsible for other regulatory areas.</w:t>
      </w:r>
    </w:p>
    <w:p w14:paraId="2CC8A12C" w14:textId="77777777" w:rsidR="0098261F" w:rsidRPr="002C758C" w:rsidRDefault="0098261F" w:rsidP="00F53CA5">
      <w:pPr>
        <w:pStyle w:val="Heading3"/>
      </w:pPr>
      <w:bookmarkStart w:id="334" w:name="_Toc525561751"/>
      <w:bookmarkStart w:id="335" w:name="_Toc525562445"/>
      <w:bookmarkStart w:id="336" w:name="_Toc1994942"/>
      <w:r>
        <w:t xml:space="preserve">Understanding </w:t>
      </w:r>
      <w:r w:rsidRPr="002C758C">
        <w:t>ML/TF risk</w:t>
      </w:r>
      <w:r>
        <w:t>- the role of countries</w:t>
      </w:r>
      <w:bookmarkEnd w:id="334"/>
      <w:bookmarkEnd w:id="335"/>
      <w:bookmarkEnd w:id="336"/>
    </w:p>
    <w:p w14:paraId="27DBD340" w14:textId="4E8A5740" w:rsidR="0098261F" w:rsidRPr="00F53CA5" w:rsidRDefault="0098261F" w:rsidP="00F53CA5">
      <w:pPr>
        <w:pStyle w:val="Para"/>
      </w:pPr>
      <w:r>
        <w:fldChar w:fldCharType="begin"/>
      </w:r>
      <w:r>
        <w:rPr>
          <w:lang w:val="en-US"/>
        </w:rPr>
        <w:instrText xml:space="preserve"> MACROBUTTON PARADOC </w:instrText>
      </w:r>
      <w:r>
        <w:fldChar w:fldCharType="end"/>
      </w:r>
      <w:r w:rsidR="00290FC1">
        <w:t xml:space="preserve">Countries should ensure, to the extent the national framework allows, that TCSPs apply a RBA that reflects the </w:t>
      </w:r>
      <w:r w:rsidR="00290FC1" w:rsidRPr="00F53CA5">
        <w:t>nature, diversity and maturity of the sector and its risk profile as well the ML/TF risks associated with individual TCSPs</w:t>
      </w:r>
      <w:r w:rsidRPr="00F53CA5">
        <w:t xml:space="preserve">. </w:t>
      </w:r>
    </w:p>
    <w:p w14:paraId="374415EB" w14:textId="4AD4E8FB" w:rsidR="0098261F" w:rsidRPr="00F53CA5" w:rsidRDefault="0098261F" w:rsidP="00F53CA5">
      <w:pPr>
        <w:pStyle w:val="Para"/>
      </w:pPr>
      <w:bookmarkStart w:id="337" w:name="_Hlk514426047"/>
      <w:r w:rsidRPr="00F53CA5">
        <w:t>Access to information about ML/TF risks is essential for an effective RBA. Countries are required to take appropriate steps to identify and assess ML/TF risks on an ongoing basis in order to (</w:t>
      </w:r>
      <w:r w:rsidR="00494F6E" w:rsidRPr="00F53CA5">
        <w:t>a</w:t>
      </w:r>
      <w:r w:rsidRPr="00F53CA5">
        <w:t>) inform potential changes to the country’s AML/CFT regime, including changes to laws, regulations and other measures; (</w:t>
      </w:r>
      <w:r w:rsidR="00494F6E" w:rsidRPr="00F53CA5">
        <w:t>b</w:t>
      </w:r>
      <w:r w:rsidRPr="00F53CA5">
        <w:t>) assist in the allocation and prioritisation of AML/CFT resources by competent authorities; and (</w:t>
      </w:r>
      <w:r w:rsidR="00494F6E" w:rsidRPr="00F53CA5">
        <w:t>c</w:t>
      </w:r>
      <w:r w:rsidRPr="00F53CA5">
        <w:t xml:space="preserve">) make information available for AML/CFT risk assessments conducted by TCSPs. Countries should keep the risk assessments up-to-date and should have mechanisms to provide appropriate information on the results to competent authorities, SRBs and TCSPs. In situations where some TCSPs have limited capacity to identify ML/TF risks, countries should work with the sector to understand their risks. </w:t>
      </w:r>
    </w:p>
    <w:bookmarkEnd w:id="337"/>
    <w:p w14:paraId="4A099FC7" w14:textId="5FF45737" w:rsidR="0098261F" w:rsidRPr="00F53CA5" w:rsidRDefault="0098261F" w:rsidP="00F53CA5">
      <w:pPr>
        <w:pStyle w:val="Para"/>
      </w:pPr>
      <w:r w:rsidRPr="00F53CA5">
        <w:lastRenderedPageBreak/>
        <w:t xml:space="preserve">Supervisors and SRBs should, as applicable, draw on a variety of sources to identify and assess ML/TF risks. These </w:t>
      </w:r>
      <w:r w:rsidR="00891C72" w:rsidRPr="00F53CA5">
        <w:t>may</w:t>
      </w:r>
      <w:r w:rsidRPr="00F53CA5">
        <w:t xml:space="preserve"> include, but will not be limited to, the jurisdiction’s national risk assessments, </w:t>
      </w:r>
      <w:r w:rsidR="002D6773" w:rsidRPr="00F53CA5">
        <w:t xml:space="preserve">supranational risk assessments, </w:t>
      </w:r>
      <w:r w:rsidRPr="00F53CA5">
        <w:t>domestic or international typologies</w:t>
      </w:r>
      <w:r w:rsidR="00891C72" w:rsidRPr="00F53CA5">
        <w:t>,</w:t>
      </w:r>
      <w:r w:rsidRPr="00F53CA5">
        <w:t xml:space="preserve"> supervisory expertise</w:t>
      </w:r>
      <w:r w:rsidR="00891C72" w:rsidRPr="00F53CA5">
        <w:t xml:space="preserve"> and</w:t>
      </w:r>
      <w:r w:rsidRPr="00F53CA5">
        <w:t xml:space="preserve"> FIU feedback. </w:t>
      </w:r>
      <w:r w:rsidR="00F54BBB" w:rsidRPr="00F53CA5">
        <w:t>The necessary information can also be obtained through appropriate information-sharing and collaboration among AML/CFT supervisors, when there are more than one for different sectors (legal professionals, accountants and TCSPs).</w:t>
      </w:r>
    </w:p>
    <w:p w14:paraId="6E43731A" w14:textId="7CF2CBDF" w:rsidR="0098261F" w:rsidRPr="00F65513" w:rsidRDefault="0098261F" w:rsidP="00F53CA5">
      <w:pPr>
        <w:pStyle w:val="Para"/>
      </w:pPr>
      <w:r w:rsidRPr="00F53CA5">
        <w:t>These sources can also be helpful in determining the extent to which TCSP</w:t>
      </w:r>
      <w:r w:rsidR="00FF6C10" w:rsidRPr="00F53CA5">
        <w:t>s are</w:t>
      </w:r>
      <w:r w:rsidRPr="00F53CA5">
        <w:t xml:space="preserve"> able to effectively manage ML/TF risk</w:t>
      </w:r>
      <w:r w:rsidR="00FF6C10" w:rsidRPr="00F53CA5">
        <w:t>s</w:t>
      </w:r>
      <w:r w:rsidRPr="00F53CA5">
        <w:t xml:space="preserve">. </w:t>
      </w:r>
      <w:r w:rsidR="00FF6C10" w:rsidRPr="00F53CA5">
        <w:t>I</w:t>
      </w:r>
      <w:r w:rsidRPr="00F53CA5">
        <w:t>nformation</w:t>
      </w:r>
      <w:r>
        <w:t xml:space="preserve">-sharing and collaboration </w:t>
      </w:r>
      <w:r w:rsidR="00FF6C10">
        <w:t xml:space="preserve">should take place </w:t>
      </w:r>
      <w:r>
        <w:t>among AML/CFT supervisors</w:t>
      </w:r>
      <w:r w:rsidR="00FF6C10">
        <w:t xml:space="preserve"> across all</w:t>
      </w:r>
      <w:r>
        <w:t xml:space="preserve"> sectors (legal professionals, accountants and TCSPs). </w:t>
      </w:r>
    </w:p>
    <w:p w14:paraId="2CA3962C" w14:textId="77777777" w:rsidR="0098261F" w:rsidRPr="00F53CA5" w:rsidRDefault="0098261F" w:rsidP="00F53CA5">
      <w:pPr>
        <w:pStyle w:val="Para"/>
      </w:pPr>
      <w:r>
        <w:t xml:space="preserve">Where competent authorities do not adequately understand the specific environment in which </w:t>
      </w:r>
      <w:r w:rsidRPr="00F53CA5">
        <w:t>TCSPs operate in the country, it may be appropriate for competent authorities to consider undertaking a more targeted sectoral risk assessment.</w:t>
      </w:r>
    </w:p>
    <w:p w14:paraId="7FFBA295" w14:textId="77777777" w:rsidR="007A64C0" w:rsidRPr="00F53CA5" w:rsidRDefault="0098261F" w:rsidP="00F53CA5">
      <w:pPr>
        <w:pStyle w:val="Para"/>
      </w:pPr>
      <w:r w:rsidRPr="00F53CA5">
        <w:t xml:space="preserve">Supervisors and SRBs should </w:t>
      </w:r>
      <w:r w:rsidR="00FF6C10" w:rsidRPr="00F53CA5">
        <w:t>understand</w:t>
      </w:r>
      <w:r w:rsidRPr="00F53CA5">
        <w:t xml:space="preserve"> the level of inherent risk including the nature and complexity of services provided by the TCSP. Supervisors and SRBs should also consider the type of services the TCSP is providing as well as its size and business model, corporate governance arrangements, the compliance culture within the organisation, financial and accounting information, delivery channels, client profiles, geographic location and countries of operation. </w:t>
      </w:r>
    </w:p>
    <w:p w14:paraId="1AC4D4DA" w14:textId="47F4E3FB" w:rsidR="0098261F" w:rsidRPr="00F53CA5" w:rsidRDefault="0098261F" w:rsidP="00F53CA5">
      <w:pPr>
        <w:pStyle w:val="Para"/>
      </w:pPr>
      <w:r w:rsidRPr="00F53CA5">
        <w:t xml:space="preserve">Supervisors and SRBs should also </w:t>
      </w:r>
      <w:r w:rsidR="00FF6C10" w:rsidRPr="00F53CA5">
        <w:t xml:space="preserve">consider the </w:t>
      </w:r>
      <w:r w:rsidRPr="00F53CA5">
        <w:t xml:space="preserve">controls </w:t>
      </w:r>
      <w:r w:rsidR="00FF6C10" w:rsidRPr="00F53CA5">
        <w:t>TCSPs have in place (e.g.</w:t>
      </w:r>
      <w:r w:rsidRPr="00F53CA5">
        <w:t xml:space="preserve"> the quality of the risk management policy, the functioning of the in</w:t>
      </w:r>
      <w:r w:rsidR="00A408BA" w:rsidRPr="00F53CA5">
        <w:t xml:space="preserve">ternal oversight functions </w:t>
      </w:r>
      <w:r w:rsidR="00FF6C10" w:rsidRPr="00F53CA5">
        <w:t>and the quality of oversight of any outsourcing and subcontracting arrangements).</w:t>
      </w:r>
      <w:r w:rsidR="007A64C0" w:rsidRPr="00F53CA5">
        <w:t xml:space="preserve"> Supervisor</w:t>
      </w:r>
      <w:r w:rsidR="002538AF" w:rsidRPr="00F53CA5">
        <w:t>s</w:t>
      </w:r>
      <w:r w:rsidR="007A64C0" w:rsidRPr="00F53CA5">
        <w:t xml:space="preserve"> and SRBs should require TCSPs to have group wide programmes against ML/TF, including for sharing </w:t>
      </w:r>
      <w:r w:rsidR="0031690F" w:rsidRPr="00F53CA5">
        <w:t xml:space="preserve">of </w:t>
      </w:r>
      <w:r w:rsidR="007A64C0" w:rsidRPr="00F53CA5">
        <w:t>information within the group for AML/CFT purposes. Policies and procedures should be consistently applied and supervised across the group.</w:t>
      </w:r>
    </w:p>
    <w:p w14:paraId="0C2671E3" w14:textId="03CDA9FD" w:rsidR="0098261F" w:rsidRPr="00F53CA5" w:rsidRDefault="0098261F" w:rsidP="00F53CA5">
      <w:pPr>
        <w:pStyle w:val="Para"/>
      </w:pPr>
      <w:r w:rsidRPr="00F53CA5">
        <w:t xml:space="preserve">Supervisors and SRBs should seek to ensure their supervised populations are fully aware of, and compliant with, measures </w:t>
      </w:r>
      <w:r w:rsidR="00412998" w:rsidRPr="00F53CA5">
        <w:t xml:space="preserve">to identify and verify a client, source of wealth and funds where required, along with measures </w:t>
      </w:r>
      <w:r w:rsidRPr="00F53CA5">
        <w:t xml:space="preserve">designed to ensure transparency of beneficial ownership, as </w:t>
      </w:r>
      <w:r w:rsidR="00412998" w:rsidRPr="00F53CA5">
        <w:t>these are</w:t>
      </w:r>
      <w:r w:rsidRPr="00F53CA5">
        <w:t xml:space="preserve"> cross-cutting issue</w:t>
      </w:r>
      <w:r w:rsidR="00412998" w:rsidRPr="00F53CA5">
        <w:t>s</w:t>
      </w:r>
      <w:r w:rsidRPr="00F53CA5">
        <w:t xml:space="preserve"> which affect several aspects of AML/CFT. </w:t>
      </w:r>
    </w:p>
    <w:p w14:paraId="39EBB7E7" w14:textId="59ED3CF9" w:rsidR="0098261F" w:rsidRPr="00F53CA5" w:rsidRDefault="0098261F" w:rsidP="00F53CA5">
      <w:pPr>
        <w:pStyle w:val="Para"/>
      </w:pPr>
      <w:r w:rsidRPr="00F53CA5">
        <w:t>Supervisors and SRBs should review their assessment of TCSPs’ ML/TF risk profiles periodically</w:t>
      </w:r>
      <w:r w:rsidR="00C81246" w:rsidRPr="00F53CA5">
        <w:t xml:space="preserve">, including </w:t>
      </w:r>
      <w:r w:rsidRPr="00F53CA5">
        <w:t xml:space="preserve">when circumstances change materially or relevant new threats emerge. </w:t>
      </w:r>
    </w:p>
    <w:p w14:paraId="22FAF9BA" w14:textId="0372EC4E" w:rsidR="0098261F" w:rsidRDefault="0098261F" w:rsidP="00F53CA5">
      <w:pPr>
        <w:pStyle w:val="Para"/>
      </w:pPr>
      <w:r w:rsidRPr="00F53CA5">
        <w:t xml:space="preserve">Supervisors and SRBs should ensure that they are properly assessing the risks associated with legal persons and legal arrangements. To further understand the vulnerabilities associated with beneficial ownership, with a particular focus on the involvement of professional intermediaries, supervisors </w:t>
      </w:r>
      <w:r w:rsidR="00C81246" w:rsidRPr="00F53CA5">
        <w:t xml:space="preserve">should stay abreast </w:t>
      </w:r>
      <w:r w:rsidRPr="00F53CA5">
        <w:t>of research papers and typologies published by international bodies</w:t>
      </w:r>
      <w:r>
        <w:t>.</w:t>
      </w:r>
      <w:r>
        <w:rPr>
          <w:rStyle w:val="FootnoteReference"/>
        </w:rPr>
        <w:footnoteReference w:id="25"/>
      </w:r>
      <w:r>
        <w:t xml:space="preserve"> </w:t>
      </w:r>
      <w:r w:rsidR="002D6773">
        <w:t xml:space="preserve"> Useful reference include the Joint FATF and Egmont Group Report on Concealment of Beneficial Ownership published in July 2018.</w:t>
      </w:r>
    </w:p>
    <w:p w14:paraId="4D0D5C79" w14:textId="26F8E4D8" w:rsidR="0098261F" w:rsidRDefault="0098261F" w:rsidP="00F53CA5">
      <w:pPr>
        <w:pStyle w:val="Heading3"/>
      </w:pPr>
      <w:bookmarkStart w:id="338" w:name="_Toc525561752"/>
      <w:bookmarkStart w:id="339" w:name="_Toc525562446"/>
      <w:bookmarkStart w:id="340" w:name="_Toc1994943"/>
      <w:r>
        <w:lastRenderedPageBreak/>
        <w:t xml:space="preserve">Mitigating </w:t>
      </w:r>
      <w:r w:rsidR="000B731A">
        <w:t xml:space="preserve">and managing </w:t>
      </w:r>
      <w:r w:rsidRPr="00F53CA5">
        <w:t>ML</w:t>
      </w:r>
      <w:r>
        <w:t>/TF risk</w:t>
      </w:r>
      <w:bookmarkEnd w:id="338"/>
      <w:bookmarkEnd w:id="339"/>
      <w:bookmarkEnd w:id="340"/>
    </w:p>
    <w:p w14:paraId="14A16E65" w14:textId="30AB7769" w:rsidR="0098261F" w:rsidRDefault="0098261F" w:rsidP="00F53CA5">
      <w:pPr>
        <w:pStyle w:val="Para"/>
      </w:pPr>
      <w:r>
        <w:t xml:space="preserve">Supervisors and SRBs must take proportionate mitigating measures. Supervisors and SRBs should determine </w:t>
      </w:r>
      <w:r w:rsidRPr="00F53CA5">
        <w:t>the frequency and intensity of these measures based on their understanding of the ML/TF risks. Supervisors and SRBs should consider the characteristics of the TCSPs, particularly his/her role as a professional intermediary</w:t>
      </w:r>
      <w:r w:rsidR="002D6773" w:rsidRPr="00F53CA5">
        <w:t>, in particular their diversity and number</w:t>
      </w:r>
      <w:r w:rsidRPr="00F53CA5">
        <w:t>. It is essential to have a</w:t>
      </w:r>
      <w:r>
        <w:t xml:space="preserve"> clear understanding of the ML/TF risks: (a) present in the country; and (b) associated with the type of TCSP and their clients, products and services. </w:t>
      </w:r>
      <w:r w:rsidR="002D6773">
        <w:t>Supervisors or SRBs may determine that individual documented risk assessments are not required, provided that the specific risks inherent to the sector are clearly identified and understood.</w:t>
      </w:r>
    </w:p>
    <w:p w14:paraId="1014C367" w14:textId="03FEF281" w:rsidR="0098261F" w:rsidRPr="00F53CA5" w:rsidRDefault="0098261F" w:rsidP="00F53CA5">
      <w:pPr>
        <w:pStyle w:val="Para"/>
      </w:pPr>
      <w:r>
        <w:t xml:space="preserve">Supervisors and SRBs assessing the adequacy of the internal controls, policies and procedures </w:t>
      </w:r>
      <w:r w:rsidRPr="00F53CA5">
        <w:t xml:space="preserve">should properly take account </w:t>
      </w:r>
      <w:r w:rsidR="002D6773" w:rsidRPr="00F53CA5">
        <w:t xml:space="preserve">of </w:t>
      </w:r>
      <w:r w:rsidRPr="00F53CA5">
        <w:t xml:space="preserve">the risk profile of TCSPs, and the degree of discretion </w:t>
      </w:r>
      <w:r w:rsidR="00A408BA" w:rsidRPr="00F53CA5">
        <w:t>allowed to them under the RBA.</w:t>
      </w:r>
    </w:p>
    <w:p w14:paraId="05DB3DB7" w14:textId="77777777" w:rsidR="008D0B07" w:rsidRDefault="0098261F" w:rsidP="00F53CA5">
      <w:pPr>
        <w:pStyle w:val="Para"/>
      </w:pPr>
      <w:r w:rsidRPr="00F53CA5">
        <w:t xml:space="preserve">Supervisors and SRBs should develop a means of identifying which TCSPs or group of TCSPs are at the greatest risk of being used by criminals. This involves considering the probability and impact of ML/TF risk. </w:t>
      </w:r>
      <w:r w:rsidR="008D0B07" w:rsidRPr="00F53CA5">
        <w:t>Probability means the likelihood of ML/TF taking place as a consequence</w:t>
      </w:r>
      <w:r w:rsidR="008D0B07">
        <w:t xml:space="preserve"> of the activity undertaken by TCSPs, or a group of TCSPs, and the environment they operate in. The risk can also increase or decrease depending on other indicators:</w:t>
      </w:r>
    </w:p>
    <w:p w14:paraId="46DB3DB8" w14:textId="77777777" w:rsidR="008D0B07" w:rsidRDefault="008D0B07" w:rsidP="00533ED1">
      <w:pPr>
        <w:pStyle w:val="BulletedList"/>
        <w:numPr>
          <w:ilvl w:val="0"/>
          <w:numId w:val="154"/>
        </w:numPr>
      </w:pPr>
      <w:r>
        <w:t>product and service risk (the likelihood that products or services can be used for ML/TF);</w:t>
      </w:r>
    </w:p>
    <w:p w14:paraId="63DB8413" w14:textId="77777777" w:rsidR="008D0B07" w:rsidRDefault="008D0B07" w:rsidP="00533ED1">
      <w:pPr>
        <w:pStyle w:val="BulletedList"/>
        <w:numPr>
          <w:ilvl w:val="0"/>
          <w:numId w:val="154"/>
        </w:numPr>
      </w:pPr>
      <w:r>
        <w:t>client risk (the likelihood that customers’ funds may have criminal origins);</w:t>
      </w:r>
    </w:p>
    <w:p w14:paraId="7766AAA2" w14:textId="77777777" w:rsidR="008D0B07" w:rsidRDefault="008D0B07" w:rsidP="00533ED1">
      <w:pPr>
        <w:pStyle w:val="BulletedList"/>
        <w:numPr>
          <w:ilvl w:val="0"/>
          <w:numId w:val="154"/>
        </w:numPr>
      </w:pPr>
      <w:r>
        <w:t>the nature of transactions (e.g. frequency, volume, counterparties);</w:t>
      </w:r>
    </w:p>
    <w:p w14:paraId="38AD11F9" w14:textId="77777777" w:rsidR="008D0B07" w:rsidRDefault="008D0B07" w:rsidP="00533ED1">
      <w:pPr>
        <w:pStyle w:val="BulletedList"/>
        <w:numPr>
          <w:ilvl w:val="0"/>
          <w:numId w:val="154"/>
        </w:numPr>
      </w:pPr>
      <w:r>
        <w:t>geographical risk (does the TCSP, its clients or other offices trade in riskier locations); and</w:t>
      </w:r>
    </w:p>
    <w:p w14:paraId="62974084" w14:textId="77777777" w:rsidR="008D0B07" w:rsidRDefault="008D0B07" w:rsidP="00533ED1">
      <w:pPr>
        <w:pStyle w:val="BulletedList"/>
        <w:numPr>
          <w:ilvl w:val="0"/>
          <w:numId w:val="154"/>
        </w:numPr>
      </w:pPr>
      <w:r>
        <w:t>other indicators of risk are based on a combination of objective factors and experience, such as the supervisor’s wider work with the TCSP as well as information on its compliance history, complaints about the TCSP or about the quality of its internal controls. Other such factors may include information from government/law enforcement sources or whistle-blowers.</w:t>
      </w:r>
    </w:p>
    <w:p w14:paraId="26CA7FD7" w14:textId="48031B79" w:rsidR="002E080F" w:rsidRPr="00F53CA5" w:rsidRDefault="002E080F" w:rsidP="00F53CA5">
      <w:pPr>
        <w:pStyle w:val="Para"/>
      </w:pPr>
      <w:r w:rsidRPr="001E654F">
        <w:t>In adopting a RBA</w:t>
      </w:r>
      <w:r w:rsidRPr="003A1941">
        <w:rPr>
          <w:lang w:val="en-US"/>
        </w:rPr>
        <w:t xml:space="preserve"> to supervision, </w:t>
      </w:r>
      <w:r>
        <w:rPr>
          <w:lang w:val="en-US"/>
        </w:rPr>
        <w:t xml:space="preserve">supervisors </w:t>
      </w:r>
      <w:r w:rsidRPr="003A1941">
        <w:rPr>
          <w:lang w:val="en-US"/>
        </w:rPr>
        <w:t>may consider allocating supervised entities</w:t>
      </w:r>
      <w:r>
        <w:rPr>
          <w:lang w:val="en-US"/>
        </w:rPr>
        <w:t xml:space="preserve"> </w:t>
      </w:r>
      <w:r w:rsidRPr="00F53CA5">
        <w:t>sharing similar characteristics and risk profiles into groupings for supervision purposes. Examples of characteristics and risk profiles could include the size of business, type of clients serviced and geographic areas of activities. The setting up of such groupings could allow supervisors to take a comprehensive view of the TCSP sector, as opposed to an approach where the supervisors concentrate on the individual risks posed by the individual firms. If the risk profile of a TCSP within a grouping changes, supervisors may reassess the supervisory approach, which may include removing the accountant from the grouping.</w:t>
      </w:r>
    </w:p>
    <w:p w14:paraId="24E16D20" w14:textId="77777777" w:rsidR="0098261F" w:rsidRDefault="0098261F" w:rsidP="00F53CA5">
      <w:pPr>
        <w:pStyle w:val="Para"/>
      </w:pPr>
      <w:r w:rsidRPr="00F53CA5">
        <w:t>Supervisors or SRBs should also consider the impact, i.e. the potential harm caused if ML/TF is facilitated by TCSPs or group of TCSPs. A small number of TCSPs may cause a high level of harm. This can depend</w:t>
      </w:r>
      <w:r>
        <w:t xml:space="preserve"> on:</w:t>
      </w:r>
    </w:p>
    <w:p w14:paraId="77241A0C" w14:textId="598D8976" w:rsidR="0098261F" w:rsidRDefault="008D0B07" w:rsidP="00533ED1">
      <w:pPr>
        <w:pStyle w:val="BulletedList"/>
        <w:numPr>
          <w:ilvl w:val="0"/>
          <w:numId w:val="155"/>
        </w:numPr>
      </w:pPr>
      <w:r>
        <w:t>S</w:t>
      </w:r>
      <w:r w:rsidR="0098261F">
        <w:t>ize</w:t>
      </w:r>
      <w:r>
        <w:t xml:space="preserve"> (</w:t>
      </w:r>
      <w:r w:rsidR="0098261F">
        <w:t>i.e. turnover</w:t>
      </w:r>
      <w:r>
        <w:t>)</w:t>
      </w:r>
      <w:r w:rsidR="0098261F">
        <w:t>, number and type of clients, number of premises, value of transactions etc.), and</w:t>
      </w:r>
    </w:p>
    <w:p w14:paraId="3F082BC1" w14:textId="332D097D" w:rsidR="0098261F" w:rsidRDefault="00A01FA2" w:rsidP="00533ED1">
      <w:pPr>
        <w:pStyle w:val="BulletedList"/>
        <w:numPr>
          <w:ilvl w:val="0"/>
          <w:numId w:val="155"/>
        </w:numPr>
      </w:pPr>
      <w:r>
        <w:lastRenderedPageBreak/>
        <w:t>L</w:t>
      </w:r>
      <w:r w:rsidR="0098261F">
        <w:t>inks</w:t>
      </w:r>
      <w:r>
        <w:t xml:space="preserve"> or </w:t>
      </w:r>
      <w:r w:rsidR="002D6773">
        <w:t>involvement</w:t>
      </w:r>
      <w:r w:rsidR="0098261F">
        <w:t xml:space="preserve"> with other businesses (susceptibility to being involved in ‘layering’ activity, e.g. concealing the origin of the transaction with the purpose to legalise the asset).</w:t>
      </w:r>
    </w:p>
    <w:p w14:paraId="37836C72" w14:textId="77777777" w:rsidR="0098261F" w:rsidRPr="00F53CA5" w:rsidRDefault="0098261F" w:rsidP="00F53CA5">
      <w:pPr>
        <w:pStyle w:val="Para"/>
      </w:pPr>
      <w:r>
        <w:t xml:space="preserve">The risk assessment should be updated by supervisors and SRBs on an ongoing basis. The result </w:t>
      </w:r>
      <w:r w:rsidRPr="00F53CA5">
        <w:t xml:space="preserve">from the assessment will help determine the resources the supervisor will allocate to the supervision of TCSPs or group of TCSPs. </w:t>
      </w:r>
    </w:p>
    <w:p w14:paraId="1F21DAD1" w14:textId="5A6DD43F" w:rsidR="00A57774" w:rsidRDefault="00A57774" w:rsidP="00F53CA5">
      <w:pPr>
        <w:pStyle w:val="Para"/>
      </w:pPr>
      <w:r w:rsidRPr="00F53CA5">
        <w:t>Supervisors or SRBs should consider whether a TCSP meets the ongoing requirements for continued participation in the profession as well as assessments of competence and of fitness and propriety. This will</w:t>
      </w:r>
      <w:r>
        <w:t xml:space="preserve"> include whether the TCSP meets expectations related to AML/CFT compliance. This will take place both when a supervised entity joins the profession, and on an ongoing basis thereafter. </w:t>
      </w:r>
    </w:p>
    <w:p w14:paraId="7B0C9A4C" w14:textId="23CC767E" w:rsidR="000A0FA8" w:rsidRPr="00F53CA5" w:rsidRDefault="000A0FA8" w:rsidP="00F53CA5">
      <w:pPr>
        <w:pStyle w:val="Para"/>
      </w:pPr>
      <w:r>
        <w:t xml:space="preserve">If a jurisdiction chooses to classify an entire sector as higher risk, it should be possible to differentiate between </w:t>
      </w:r>
      <w:r w:rsidRPr="00F53CA5">
        <w:t xml:space="preserve">categories of TCSPs based on various factors such as their client base, countries they deal with and applicable AML/CFT controls etc. </w:t>
      </w:r>
    </w:p>
    <w:p w14:paraId="7963F065" w14:textId="25DF5666" w:rsidR="000B731A" w:rsidRPr="00F53CA5" w:rsidRDefault="00CE722A" w:rsidP="00F53CA5">
      <w:pPr>
        <w:pStyle w:val="Para"/>
      </w:pPr>
      <w:r w:rsidRPr="00F53CA5">
        <w:t>S</w:t>
      </w:r>
      <w:r w:rsidR="000B731A" w:rsidRPr="00F53CA5">
        <w:t xml:space="preserve">upervisors and SRBs </w:t>
      </w:r>
      <w:r w:rsidRPr="00F53CA5">
        <w:t xml:space="preserve">should </w:t>
      </w:r>
      <w:r w:rsidR="000B731A" w:rsidRPr="00F53CA5">
        <w:t>acknowledge that in a risk-based regime, not all TCSPs will adopt identical AML/CFT controls and that an isolated incident where the TCSP is part of an illegal transaction unwittingly does not necessarily invalidate the integrity of the TCSP’</w:t>
      </w:r>
      <w:r w:rsidR="000A0FA8" w:rsidRPr="00F53CA5">
        <w:t>s</w:t>
      </w:r>
      <w:r w:rsidR="000B731A" w:rsidRPr="00F53CA5">
        <w:t xml:space="preserve"> AML/CFT controls.  At the same time, TCSPs should understand that a flexible RBA does not exempt them from applying effective AML/CFT controls.</w:t>
      </w:r>
    </w:p>
    <w:p w14:paraId="292B4E62" w14:textId="77777777" w:rsidR="0098261F" w:rsidRDefault="0098261F" w:rsidP="00F53CA5">
      <w:pPr>
        <w:pStyle w:val="Para"/>
      </w:pPr>
      <w:r w:rsidRPr="00F53CA5">
        <w:t>Supervisors and SRBs should use their findings to review and update their ML/TF risk assessments and, where necessary, consider whether their approach to AML/CFT supervision and the existing AML/CFT rules</w:t>
      </w:r>
      <w:r>
        <w:t xml:space="preserve"> and guidance remain adequate. Whenever appropriate, and in compliance with relevant confidentiality requirements, these findings should be communicated to TCSPs to enable them to enhance their RBA.</w:t>
      </w:r>
    </w:p>
    <w:p w14:paraId="06EC7D86" w14:textId="04025B6E" w:rsidR="0098261F" w:rsidRDefault="0098261F" w:rsidP="00F53CA5">
      <w:pPr>
        <w:pStyle w:val="Heading2"/>
        <w:rPr>
          <w:lang w:val="en-US"/>
        </w:rPr>
      </w:pPr>
      <w:bookmarkStart w:id="341" w:name="_Toc525561753"/>
      <w:bookmarkStart w:id="342" w:name="_Toc525562447"/>
      <w:bookmarkStart w:id="343" w:name="_Toc1994944"/>
      <w:r>
        <w:rPr>
          <w:lang w:val="en-US"/>
        </w:rPr>
        <w:t xml:space="preserve">Supervision of the </w:t>
      </w:r>
      <w:bookmarkEnd w:id="341"/>
      <w:bookmarkEnd w:id="342"/>
      <w:r w:rsidR="008D0B07">
        <w:rPr>
          <w:lang w:val="en-US"/>
        </w:rPr>
        <w:t>RBA</w:t>
      </w:r>
      <w:bookmarkEnd w:id="343"/>
    </w:p>
    <w:p w14:paraId="39983953" w14:textId="1F98E626" w:rsidR="0098261F" w:rsidRPr="00273C45" w:rsidRDefault="0098261F" w:rsidP="00F53CA5">
      <w:pPr>
        <w:pStyle w:val="Heading3"/>
      </w:pPr>
      <w:bookmarkStart w:id="344" w:name="_Toc1994945"/>
      <w:r w:rsidRPr="00273C45">
        <w:t xml:space="preserve">Licensing or </w:t>
      </w:r>
      <w:r>
        <w:t>r</w:t>
      </w:r>
      <w:r w:rsidRPr="00273C45">
        <w:t>egistration</w:t>
      </w:r>
      <w:bookmarkEnd w:id="344"/>
    </w:p>
    <w:p w14:paraId="1FDBEF1C" w14:textId="77777777" w:rsidR="0098261F" w:rsidRPr="00F53CA5" w:rsidRDefault="0098261F" w:rsidP="00F53CA5">
      <w:pPr>
        <w:pStyle w:val="Para"/>
      </w:pPr>
      <w:r w:rsidRPr="00273C45">
        <w:t>R</w:t>
      </w:r>
      <w:r>
        <w:t>.</w:t>
      </w:r>
      <w:r w:rsidRPr="00F53CA5">
        <w:t xml:space="preserve">28 requires TCSPs to be subject to regulatory and supervisory measures to ensure their compliance with AML/CFT requirements. </w:t>
      </w:r>
    </w:p>
    <w:p w14:paraId="5370C35D" w14:textId="437AC6D1" w:rsidR="0098261F" w:rsidRPr="00F53CA5" w:rsidRDefault="0098261F" w:rsidP="00A404A5">
      <w:pPr>
        <w:pStyle w:val="Para"/>
        <w:spacing w:line="228" w:lineRule="auto"/>
      </w:pPr>
      <w:r w:rsidRPr="00F53CA5">
        <w:t>R.28 also requires the supervisor or SRB to take the necessary measures to prevent criminals or their associates from being professionally accredited or holding or being the beneficial owner of a significant or controlling interest or holding a management function</w:t>
      </w:r>
      <w:r w:rsidR="00A57774" w:rsidRPr="00F53CA5">
        <w:t xml:space="preserve"> in relation to a TCSP</w:t>
      </w:r>
      <w:r w:rsidRPr="00F53CA5">
        <w:t>. This can be achieved through the evaluation of these persons th</w:t>
      </w:r>
      <w:r w:rsidR="00A408BA" w:rsidRPr="00F53CA5">
        <w:t>rough a “fit and proper” test.</w:t>
      </w:r>
    </w:p>
    <w:p w14:paraId="2803977C" w14:textId="75EA932A" w:rsidR="0098261F" w:rsidRPr="00F53CA5" w:rsidRDefault="0098261F" w:rsidP="00A404A5">
      <w:pPr>
        <w:pStyle w:val="Para"/>
        <w:spacing w:line="228" w:lineRule="auto"/>
      </w:pPr>
      <w:r w:rsidRPr="00F53CA5">
        <w:t xml:space="preserve">A licensing or registration mechanism is one of the means to identify TCSPs who undertake activities specified in R.22 to whom the regulatory and supervisory measures, including the “fit and proper” test should be applied. It also enables the identification of </w:t>
      </w:r>
      <w:r w:rsidR="002D6773" w:rsidRPr="00F53CA5">
        <w:t>the number</w:t>
      </w:r>
      <w:r w:rsidRPr="00F53CA5">
        <w:t xml:space="preserve"> of TCSPs for the purposes of assessing and understanding the ML/TF risks for the country, and the action which should be taken to mitigate them in accordance with R.1.</w:t>
      </w:r>
    </w:p>
    <w:p w14:paraId="2CD73B93" w14:textId="1242A423" w:rsidR="0098261F" w:rsidRPr="00F53CA5" w:rsidRDefault="0098261F" w:rsidP="00A404A5">
      <w:pPr>
        <w:pStyle w:val="Para"/>
        <w:spacing w:line="228" w:lineRule="auto"/>
      </w:pPr>
      <w:r w:rsidRPr="00F53CA5">
        <w:t xml:space="preserve">Licensing or registration provides a </w:t>
      </w:r>
      <w:r w:rsidR="00A72CF6" w:rsidRPr="00F53CA5">
        <w:t>supervisor or SRB</w:t>
      </w:r>
      <w:r w:rsidRPr="00F53CA5">
        <w:t xml:space="preserve"> with the means to fulfil a “gate-keeper” role over who can undertake those activities specified in R.22. Licensing or registration </w:t>
      </w:r>
      <w:r w:rsidR="00A72CF6" w:rsidRPr="00F53CA5">
        <w:t xml:space="preserve">should ensure that upon qualification, </w:t>
      </w:r>
      <w:r w:rsidRPr="00F53CA5">
        <w:t xml:space="preserve">TCSPs are subject to AML/CFT </w:t>
      </w:r>
      <w:r w:rsidR="00A326B0" w:rsidRPr="00F53CA5">
        <w:t>compliance monitoring</w:t>
      </w:r>
      <w:r w:rsidRPr="00F53CA5">
        <w:t>.</w:t>
      </w:r>
    </w:p>
    <w:p w14:paraId="26CCE3DA" w14:textId="7E1ED8A1" w:rsidR="0098261F" w:rsidRPr="00F53CA5" w:rsidRDefault="0098261F" w:rsidP="00A404A5">
      <w:pPr>
        <w:pStyle w:val="Para"/>
        <w:spacing w:line="228" w:lineRule="auto"/>
      </w:pPr>
      <w:r w:rsidRPr="00F53CA5">
        <w:t xml:space="preserve">The supervisor or SRB should </w:t>
      </w:r>
      <w:r w:rsidR="00A27BA0" w:rsidRPr="00F53CA5">
        <w:t xml:space="preserve">actively </w:t>
      </w:r>
      <w:r w:rsidRPr="00F53CA5">
        <w:t>identify individuals and busi</w:t>
      </w:r>
      <w:r w:rsidR="00A27BA0" w:rsidRPr="00F53CA5">
        <w:t xml:space="preserve">nesses who should be supervised by using </w:t>
      </w:r>
      <w:r w:rsidRPr="00F53CA5">
        <w:t xml:space="preserve">intelligence from other competent authorities (FIUs, </w:t>
      </w:r>
      <w:r w:rsidRPr="00F53CA5">
        <w:lastRenderedPageBreak/>
        <w:t xml:space="preserve">company registry, tax authority), information from financial institutions and DNFBPs, complaints by the public and open source information from advertisements and business and commercial registries </w:t>
      </w:r>
      <w:r w:rsidR="00A27BA0" w:rsidRPr="00F53CA5">
        <w:t xml:space="preserve">or any other sources </w:t>
      </w:r>
      <w:r w:rsidRPr="00F53CA5">
        <w:t>which indicate that there are unsupervised individuals or businesses providing the activities specified in R.22.</w:t>
      </w:r>
    </w:p>
    <w:p w14:paraId="453E25FD" w14:textId="39379ECB" w:rsidR="0098261F" w:rsidRPr="00273C45" w:rsidRDefault="0098261F" w:rsidP="00F53CA5">
      <w:pPr>
        <w:pStyle w:val="Para"/>
      </w:pPr>
      <w:r w:rsidRPr="00F53CA5">
        <w:t>Licensing or registration frameworks should</w:t>
      </w:r>
      <w:r w:rsidR="00A27BA0" w:rsidRPr="00F53CA5">
        <w:t xml:space="preserve"> </w:t>
      </w:r>
      <w:r w:rsidRPr="00F53CA5">
        <w:t>define the activities which are subject to licensing or registration, prohibit unlicensed or unregistered individuals or businesses providing these activities</w:t>
      </w:r>
      <w:r w:rsidR="00A27BA0" w:rsidRPr="00F53CA5">
        <w:t xml:space="preserve"> and set out</w:t>
      </w:r>
      <w:r w:rsidRPr="00F53CA5">
        <w:t xml:space="preserve"> measures for both refusing licences or registrations and for removing “bad</w:t>
      </w:r>
      <w:r w:rsidRPr="00273C45">
        <w:t xml:space="preserve"> actors”.</w:t>
      </w:r>
    </w:p>
    <w:p w14:paraId="7C442E4D" w14:textId="431CB8D4" w:rsidR="0098261F" w:rsidRPr="00F53CA5" w:rsidRDefault="0098261F" w:rsidP="00F53CA5">
      <w:pPr>
        <w:pStyle w:val="Para"/>
      </w:pPr>
      <w:r w:rsidRPr="00273C45">
        <w:t>The terms “</w:t>
      </w:r>
      <w:r w:rsidRPr="00F53CA5">
        <w:t>licensing” or “registration” are not interchangeable. Licensing regimes generally tend to operate over financial institutions and impose mandatory minimum requirements based upon Core Principles on issues such as capital, governance, and resourcing to manage and mitigate prudential conduct as well as ML/TF risks on an on-going basis. Some jurisdictions have adopted similar licensing regimes for TCSPs</w:t>
      </w:r>
      <w:r w:rsidR="005A05E3" w:rsidRPr="00F53CA5">
        <w:t>, generally where TCSPs carry out trust and corporate services,</w:t>
      </w:r>
      <w:r w:rsidRPr="00F53CA5">
        <w:t xml:space="preserve"> to encompass aspects of prudential and conduct requirements in managing higher ML/TF risks that have been identified in that sector.</w:t>
      </w:r>
    </w:p>
    <w:p w14:paraId="5EB1468B" w14:textId="2A1330A6" w:rsidR="0098261F" w:rsidRPr="00F53CA5" w:rsidRDefault="0098261F" w:rsidP="00F53CA5">
      <w:pPr>
        <w:pStyle w:val="Para"/>
      </w:pPr>
      <w:r w:rsidRPr="00F53CA5">
        <w:t>A jurisdiction may have a registration framework over the entire DNFBP sector, including TCSPs or have a specific registration framework for each constituent of DNFBP. Generally, a supervisor or SRB carries out the registration function.</w:t>
      </w:r>
    </w:p>
    <w:p w14:paraId="51EC2507" w14:textId="42745D30" w:rsidR="0098261F" w:rsidRPr="00273C45" w:rsidRDefault="0098261F" w:rsidP="00F53CA5">
      <w:pPr>
        <w:pStyle w:val="Para"/>
        <w:rPr>
          <w:lang w:val="en-US"/>
        </w:rPr>
      </w:pPr>
      <w:r w:rsidRPr="00F53CA5">
        <w:t xml:space="preserve">The supervisor or SRB should ensure that requirements for licensing or registration and the process for applying </w:t>
      </w:r>
      <w:r w:rsidR="00584021" w:rsidRPr="00F53CA5">
        <w:t>are clear, objective, public</w:t>
      </w:r>
      <w:r w:rsidRPr="00F53CA5">
        <w:t>ly available and consistently applied. Determination of the licence or registration</w:t>
      </w:r>
      <w:r w:rsidRPr="00273C45">
        <w:t xml:space="preserve"> should be objective and timely. A SRB could be responsible for both supervision and for representing </w:t>
      </w:r>
      <w:r w:rsidR="00584021">
        <w:t xml:space="preserve">the interests of </w:t>
      </w:r>
      <w:r w:rsidRPr="00273C45">
        <w:t xml:space="preserve">its members. The SRB should ensure that </w:t>
      </w:r>
      <w:r>
        <w:t>registration decisions</w:t>
      </w:r>
      <w:r w:rsidRPr="00273C45">
        <w:t xml:space="preserve"> are taken separately and independently from its activities regarding member representation.</w:t>
      </w:r>
    </w:p>
    <w:p w14:paraId="6B5551E9" w14:textId="77777777" w:rsidR="0098261F" w:rsidRPr="00273C45" w:rsidRDefault="0098261F" w:rsidP="00124706">
      <w:pPr>
        <w:pStyle w:val="Heading4"/>
      </w:pPr>
      <w:r w:rsidRPr="00273C45">
        <w:t xml:space="preserve">Fit and proper </w:t>
      </w:r>
      <w:r w:rsidRPr="00124706">
        <w:t>tests</w:t>
      </w:r>
    </w:p>
    <w:p w14:paraId="433445B7" w14:textId="77777777" w:rsidR="0098261F" w:rsidRPr="00F53CA5" w:rsidRDefault="0098261F" w:rsidP="00F53CA5">
      <w:pPr>
        <w:pStyle w:val="Para"/>
      </w:pPr>
      <w:r w:rsidRPr="00273C45">
        <w:t xml:space="preserve">A fit and proper test provides a </w:t>
      </w:r>
      <w:r>
        <w:t xml:space="preserve">possible </w:t>
      </w:r>
      <w:r w:rsidRPr="00273C45">
        <w:t xml:space="preserve">mechanism for a supervisor or SRB to take the </w:t>
      </w:r>
      <w:r w:rsidRPr="00F53CA5">
        <w:t xml:space="preserve">necessary measures to prevent criminals or their associates from owning, controlling or holding a management function in a TCSP. </w:t>
      </w:r>
    </w:p>
    <w:p w14:paraId="476350E0" w14:textId="4AB05CA7" w:rsidR="0098261F" w:rsidRPr="00F53CA5" w:rsidRDefault="0098261F" w:rsidP="00F53CA5">
      <w:pPr>
        <w:pStyle w:val="Para"/>
      </w:pPr>
      <w:r w:rsidRPr="00F53CA5">
        <w:t>In accordance with R.28, the supervisor or SRB must establish the integrity of every beneficial owner, controller and individual holding a management function in a TCSP. However, the decisions on an individual’s fitness and propriety may also be based upon a range of factors concerning the individual’s competency, probity, and judgement as well as their integrity.</w:t>
      </w:r>
    </w:p>
    <w:p w14:paraId="48228195" w14:textId="3FEB7F8C" w:rsidR="0098261F" w:rsidRPr="00F53CA5" w:rsidRDefault="0098261F" w:rsidP="00F53CA5">
      <w:pPr>
        <w:pStyle w:val="Para"/>
      </w:pPr>
      <w:r w:rsidRPr="00F53CA5">
        <w:t xml:space="preserve">In some jurisdictions, a fit and proper test forms a fundamental part of determining whether to license or register the TCSP and whether on an ongoing basis the licensee or registrant (including its owners and controllers, where applicable) remains fit and proper to continue in that role. The initial assessment of an individual’s fitness and propriety is a combination of obtaining information from the individual and corroborating elements of that information against independent credible sources to determine whether the individual is fit and proper to hold that </w:t>
      </w:r>
      <w:r w:rsidR="002D6773" w:rsidRPr="00F53CA5">
        <w:t>position</w:t>
      </w:r>
      <w:r w:rsidRPr="00F53CA5">
        <w:t>.</w:t>
      </w:r>
    </w:p>
    <w:p w14:paraId="6ED213A8" w14:textId="76C968EA" w:rsidR="0098261F" w:rsidRPr="00F53CA5" w:rsidRDefault="0098261F" w:rsidP="00F53CA5">
      <w:pPr>
        <w:pStyle w:val="Para"/>
      </w:pPr>
      <w:r w:rsidRPr="00F53CA5">
        <w:t>The process for determining fitness and propriety generally requires the applicant to complete a questionnaire. It could gather personal identification information, residential and employment history, and require disclosure by the applicant of any convictions or adverse judgements</w:t>
      </w:r>
      <w:r w:rsidR="005E2764" w:rsidRPr="00F53CA5">
        <w:t xml:space="preserve"> relating to the applicant</w:t>
      </w:r>
      <w:r w:rsidRPr="00F53CA5">
        <w:t xml:space="preserve">, including pending prosecutions and convictions. Elements of this information should be corroborated to establish the bona fides </w:t>
      </w:r>
      <w:r w:rsidRPr="00F53CA5">
        <w:lastRenderedPageBreak/>
        <w:t>of an individual. Such checks could include enquiries about the individual with law enforcement agencies and other supervisors or screening the individual against independent electronic search databases. The personal data collected should be kept confidential.</w:t>
      </w:r>
    </w:p>
    <w:p w14:paraId="0C490EC4" w14:textId="4888F23A" w:rsidR="0098261F" w:rsidRPr="00273C45" w:rsidRDefault="0098261F" w:rsidP="00F53CA5">
      <w:pPr>
        <w:pStyle w:val="Para"/>
        <w:rPr>
          <w:lang w:val="en-US"/>
        </w:rPr>
      </w:pPr>
      <w:r w:rsidRPr="00F53CA5">
        <w:t>The supervisor or SRB should also ensure on an ongoing basis that owners, controllers and individuals holding management functions in a TCSP are fit and proper. A fit and proper test should apply to</w:t>
      </w:r>
      <w:r w:rsidRPr="00273C45">
        <w:t xml:space="preserve"> new owners, controllers and individuals holding a management function</w:t>
      </w:r>
      <w:r>
        <w:t xml:space="preserve"> in a TCSP</w:t>
      </w:r>
      <w:r w:rsidRPr="00273C45">
        <w:t xml:space="preserve">. The supervisor or SRB should consider re-assessing the fitness and propriety of these individuals arising from any supervisory findings, receipt of information from other </w:t>
      </w:r>
      <w:r w:rsidRPr="00F53CA5">
        <w:t>competent</w:t>
      </w:r>
      <w:r w:rsidRPr="00273C45">
        <w:t xml:space="preserve"> authorities; or open source information indicating significant adverse developments.</w:t>
      </w:r>
    </w:p>
    <w:p w14:paraId="69C83D0F" w14:textId="77777777" w:rsidR="0098261F" w:rsidRPr="00273C45" w:rsidRDefault="0098261F" w:rsidP="0098261F">
      <w:pPr>
        <w:pStyle w:val="Heading4"/>
      </w:pPr>
      <w:r w:rsidRPr="00273C45">
        <w:t>Guarding against “brass-plate” operations</w:t>
      </w:r>
    </w:p>
    <w:p w14:paraId="63FC536B" w14:textId="38DCF6A4" w:rsidR="002E080F" w:rsidRPr="00F53CA5" w:rsidRDefault="002E080F" w:rsidP="00F53CA5">
      <w:pPr>
        <w:pStyle w:val="Para"/>
      </w:pPr>
      <w:r w:rsidRPr="00273C45">
        <w:t xml:space="preserve">The supervisor or SRB should ensure that its licensing or registration requirements </w:t>
      </w:r>
      <w:r w:rsidRPr="00F53CA5">
        <w:t xml:space="preserve">require the TCSP to have a meaningful physical presence in the jurisdiction. This usually means that the TCSP must have its place of business in the jurisdiction. Where the TCSP is a legal person, those individuals who form its mind and management, should also be resident in the jurisdiction and be actively involved in the business. A business with only staff who do not possess the professional qualifications and relevant experience to manage the TCSP should not be licensed or registered. </w:t>
      </w:r>
    </w:p>
    <w:p w14:paraId="14A775C1" w14:textId="77777777" w:rsidR="0098261F" w:rsidRPr="00F53CA5" w:rsidRDefault="0098261F" w:rsidP="00F53CA5">
      <w:pPr>
        <w:pStyle w:val="Para"/>
      </w:pPr>
      <w:r w:rsidRPr="00F53CA5">
        <w:t>A supervisor or SRB should consider the ownership and control structure of the TCSP to determine that sufficient control over its operation will reside within the business, which it is considering licensing, or registering. Factors to take into account could include consideration of where the beneficial owners and controllers reside, the number and type of management functions the TCSP is proposing to have in the country, such as directors and managers, including compliance managers, and the calibre of the individuals who will be occupying those roles. It should also consider the extent to which the TCSP’s activities are outsourced to another jurisdiction.</w:t>
      </w:r>
    </w:p>
    <w:p w14:paraId="775D2E26" w14:textId="77777777" w:rsidR="0098261F" w:rsidRDefault="0098261F" w:rsidP="00F53CA5">
      <w:pPr>
        <w:pStyle w:val="Para"/>
        <w:rPr>
          <w:lang w:val="en-US"/>
        </w:rPr>
      </w:pPr>
      <w:r w:rsidRPr="00F53CA5">
        <w:t>The supervisor or SRB should also consider whether the ownership and control structure of TCSPs unduly hinders</w:t>
      </w:r>
      <w:r w:rsidRPr="00273C45">
        <w:t xml:space="preserve"> its identification of the beneficial owners and controllers or presents obstacles to applying effective supervision.</w:t>
      </w:r>
    </w:p>
    <w:p w14:paraId="1EAACE95" w14:textId="0432BA61" w:rsidR="00AD63E0" w:rsidRPr="00F53CA5" w:rsidRDefault="00AD63E0" w:rsidP="00F53CA5">
      <w:pPr>
        <w:pStyle w:val="Heading3"/>
        <w:rPr>
          <w:color w:val="auto"/>
        </w:rPr>
      </w:pPr>
      <w:bookmarkStart w:id="345" w:name="_Toc517720630"/>
      <w:bookmarkStart w:id="346" w:name="_Toc525294352"/>
      <w:bookmarkStart w:id="347" w:name="_Toc1994946"/>
      <w:bookmarkStart w:id="348" w:name="_Toc525561754"/>
      <w:bookmarkStart w:id="349" w:name="_Toc525562448"/>
      <w:bookmarkEnd w:id="345"/>
      <w:r w:rsidRPr="00F53CA5">
        <w:rPr>
          <w:color w:val="auto"/>
        </w:rPr>
        <w:t>Monitoring and supervision</w:t>
      </w:r>
      <w:bookmarkEnd w:id="346"/>
      <w:bookmarkEnd w:id="347"/>
    </w:p>
    <w:p w14:paraId="19C3F463" w14:textId="584F060F" w:rsidR="00AD63E0" w:rsidRPr="006565D7" w:rsidRDefault="00AD63E0" w:rsidP="00F53CA5">
      <w:pPr>
        <w:pStyle w:val="Para"/>
      </w:pPr>
      <w:r w:rsidRPr="00864ECF">
        <w:rPr>
          <w:rFonts w:eastAsia="Times New Roman"/>
        </w:rPr>
        <w:t>Supervisors</w:t>
      </w:r>
      <w:r>
        <w:t xml:space="preserve"> and SRBs should take measures to effectively monitor TCSPs through on-site and off-site supervision. The nature of this monitoring will depend on the risk profiles prepared by the supervisor or SRB and the connected RBA. S</w:t>
      </w:r>
      <w:r w:rsidRPr="006565D7">
        <w:t xml:space="preserve">upervisors and SRBs </w:t>
      </w:r>
      <w:r>
        <w:t>may choose to adjust</w:t>
      </w:r>
      <w:r w:rsidRPr="006565D7">
        <w:t>:</w:t>
      </w:r>
    </w:p>
    <w:p w14:paraId="0D832DAB" w14:textId="77777777" w:rsidR="00AD63E0" w:rsidRPr="006565D7" w:rsidRDefault="00AD63E0" w:rsidP="00533ED1">
      <w:pPr>
        <w:pStyle w:val="BulletedList"/>
        <w:numPr>
          <w:ilvl w:val="0"/>
          <w:numId w:val="156"/>
        </w:numPr>
      </w:pPr>
      <w:r w:rsidRPr="006565D7">
        <w:t xml:space="preserve"> the </w:t>
      </w:r>
      <w:r>
        <w:t>level</w:t>
      </w:r>
      <w:r w:rsidRPr="006565D7">
        <w:t xml:space="preserve"> of checks required to perform their authorisation function: where the ML/TF risk associated with the sector is low, the opportunities for ML/TF associated with a particular business activity may be limited</w:t>
      </w:r>
      <w:r>
        <w:t>,</w:t>
      </w:r>
      <w:r w:rsidRPr="006565D7">
        <w:t xml:space="preserve"> </w:t>
      </w:r>
      <w:r>
        <w:t xml:space="preserve">and </w:t>
      </w:r>
      <w:r w:rsidRPr="006565D7">
        <w:t>approval</w:t>
      </w:r>
      <w:r>
        <w:t>s</w:t>
      </w:r>
      <w:r w:rsidRPr="006565D7">
        <w:t xml:space="preserve"> </w:t>
      </w:r>
      <w:r>
        <w:t xml:space="preserve">may be made </w:t>
      </w:r>
      <w:r w:rsidRPr="006565D7">
        <w:t xml:space="preserve">on a review of </w:t>
      </w:r>
      <w:r>
        <w:t xml:space="preserve">basic </w:t>
      </w:r>
      <w:r w:rsidRPr="006565D7">
        <w:t xml:space="preserve">documentation. Where the ML/TF risk associated with the sector is high, supervisors </w:t>
      </w:r>
      <w:r>
        <w:t xml:space="preserve">and SRBs </w:t>
      </w:r>
      <w:r w:rsidRPr="006565D7">
        <w:t>may ask for additional information.</w:t>
      </w:r>
    </w:p>
    <w:p w14:paraId="7C7BB955" w14:textId="2EA46CB4" w:rsidR="00AD63E0" w:rsidRPr="006565D7" w:rsidRDefault="00AD63E0" w:rsidP="00533ED1">
      <w:pPr>
        <w:pStyle w:val="BulletedList"/>
        <w:numPr>
          <w:ilvl w:val="0"/>
          <w:numId w:val="156"/>
        </w:numPr>
      </w:pPr>
      <w:r w:rsidRPr="006565D7">
        <w:t xml:space="preserve">the type of </w:t>
      </w:r>
      <w:r>
        <w:t xml:space="preserve">on-site or off-site </w:t>
      </w:r>
      <w:r w:rsidRPr="006565D7">
        <w:t xml:space="preserve">AML/CFT supervision: to the extent permitted by their </w:t>
      </w:r>
      <w:r>
        <w:t>regime, supervisors and SRBs may</w:t>
      </w:r>
      <w:r w:rsidRPr="006565D7">
        <w:t xml:space="preserve"> determine the correct mix of on-site and off-site supervision of </w:t>
      </w:r>
      <w:r>
        <w:t>TCSPs</w:t>
      </w:r>
      <w:r w:rsidRPr="006565D7">
        <w:t>. Off-site supervision may involve analysis of annual independent audit</w:t>
      </w:r>
      <w:r>
        <w:t xml:space="preserve">s </w:t>
      </w:r>
      <w:r w:rsidRPr="006565D7">
        <w:t xml:space="preserve">and other mandatory reports, identifying risky intermediaries (i.e., on the basis of the size of the firms, involvement in cross-border activities, or specific business sectors), automated scrutiny of registers to detect missing </w:t>
      </w:r>
      <w:r w:rsidRPr="006565D7">
        <w:lastRenderedPageBreak/>
        <w:t>beneficial ownership information and identif</w:t>
      </w:r>
      <w:r>
        <w:t>ication of persons</w:t>
      </w:r>
      <w:r w:rsidRPr="006565D7">
        <w:t xml:space="preserve"> responsible for the filing. </w:t>
      </w:r>
      <w:r w:rsidR="000B73F9">
        <w:t xml:space="preserve">It may also include undertaking thematic reviews of the sector, making compulsory the periodic information returns from firms. </w:t>
      </w:r>
      <w:r w:rsidRPr="006565D7">
        <w:t>Off-site supervision alone may not be appropriate in higher risk situations.</w:t>
      </w:r>
      <w:r>
        <w:t xml:space="preserve"> </w:t>
      </w:r>
      <w:r w:rsidRPr="006565D7">
        <w:t xml:space="preserve">On-site inspections involve reviewing </w:t>
      </w:r>
      <w:r>
        <w:t>AML/CF</w:t>
      </w:r>
      <w:r w:rsidR="000A0FA8">
        <w:t>T</w:t>
      </w:r>
      <w:r>
        <w:t xml:space="preserve"> </w:t>
      </w:r>
      <w:r w:rsidRPr="006565D7">
        <w:t xml:space="preserve">internal policies, controls and procedures, </w:t>
      </w:r>
      <w:r w:rsidR="000B73F9">
        <w:t xml:space="preserve">interviewing members of senior management and staff, </w:t>
      </w:r>
      <w:r w:rsidRPr="006565D7">
        <w:t>gatekeeper’s own risk assessments, spot checking CDD documents and supporting evidence,</w:t>
      </w:r>
      <w:r w:rsidR="005E2764" w:rsidRPr="005E2764">
        <w:rPr>
          <w:rFonts w:cs="Arial"/>
          <w:szCs w:val="22"/>
        </w:rPr>
        <w:t xml:space="preserve"> </w:t>
      </w:r>
      <w:r w:rsidR="005E2764">
        <w:rPr>
          <w:rFonts w:cs="Arial"/>
          <w:szCs w:val="22"/>
        </w:rPr>
        <w:t xml:space="preserve">reporting ML/TF suspicions in relation to clients, TCSPs and others which may be observed in the course of an onsite visit and </w:t>
      </w:r>
      <w:r w:rsidR="005E2764" w:rsidRPr="00D1506B">
        <w:rPr>
          <w:rFonts w:cs="Arial"/>
          <w:szCs w:val="22"/>
        </w:rPr>
        <w:t>where appropriate,</w:t>
      </w:r>
      <w:r w:rsidR="005E2764" w:rsidRPr="006565D7">
        <w:t xml:space="preserve"> </w:t>
      </w:r>
      <w:r w:rsidRPr="006565D7">
        <w:t xml:space="preserve"> sample testing of reporting obligations.</w:t>
      </w:r>
    </w:p>
    <w:p w14:paraId="3181E545" w14:textId="7A4F65B8" w:rsidR="00AD63E0" w:rsidRPr="006565D7" w:rsidRDefault="00AD63E0" w:rsidP="00533ED1">
      <w:pPr>
        <w:pStyle w:val="BulletedList"/>
        <w:numPr>
          <w:ilvl w:val="0"/>
          <w:numId w:val="156"/>
        </w:numPr>
      </w:pPr>
      <w:r w:rsidRPr="006565D7">
        <w:t xml:space="preserve">the frequency and nature of ongoing AML/CFT supervision: supervisors and SRBs should </w:t>
      </w:r>
      <w:r>
        <w:t xml:space="preserve">proactively </w:t>
      </w:r>
      <w:r w:rsidRPr="006565D7">
        <w:t xml:space="preserve">adjust the frequency of AML/CFT supervision in line with the risks identified and combine periodic reviews and ad hoc AML/CFT supervision as issues emerge </w:t>
      </w:r>
      <w:r>
        <w:t>(</w:t>
      </w:r>
      <w:r w:rsidRPr="006565D7">
        <w:t xml:space="preserve">e.g. as a result of whistleblowing, information from law enforcement, or other supervisory findings resulting from </w:t>
      </w:r>
      <w:r>
        <w:t>TCSPs’</w:t>
      </w:r>
      <w:r w:rsidRPr="006565D7">
        <w:t xml:space="preserve"> inclusion in thematic review samples</w:t>
      </w:r>
      <w:r>
        <w:t>)</w:t>
      </w:r>
      <w:r w:rsidRPr="006565D7">
        <w:t xml:space="preserve">. </w:t>
      </w:r>
    </w:p>
    <w:p w14:paraId="5F45576A" w14:textId="3AE6556C" w:rsidR="00AD63E0" w:rsidRPr="006565D7" w:rsidRDefault="00AD63E0" w:rsidP="00533ED1">
      <w:pPr>
        <w:pStyle w:val="BulletedList"/>
        <w:numPr>
          <w:ilvl w:val="0"/>
          <w:numId w:val="156"/>
        </w:numPr>
      </w:pPr>
      <w:r w:rsidRPr="006565D7">
        <w:t xml:space="preserve"> the intensity of AML/CFT supervision: supervisors and SRBs should decide on the appropriate scope or level of assessment in line with the risks identified, with the aim of assessing the adequacy of </w:t>
      </w:r>
      <w:r>
        <w:t>TCSP</w:t>
      </w:r>
      <w:r w:rsidRPr="006565D7">
        <w:t>s’ policies and procedures that are designed to prevent them from being abused. Examples of more intensive supervision could include</w:t>
      </w:r>
      <w:r>
        <w:t>;</w:t>
      </w:r>
      <w:r w:rsidRPr="006565D7">
        <w:t xml:space="preserve"> detailed testing of systems and files to verify the implementation and adequacy of the </w:t>
      </w:r>
      <w:r>
        <w:t>TCSPs’</w:t>
      </w:r>
      <w:r w:rsidRPr="006565D7">
        <w:t xml:space="preserve"> assessment, CDD, reporting and record</w:t>
      </w:r>
      <w:r>
        <w:t>-</w:t>
      </w:r>
      <w:r w:rsidRPr="006565D7">
        <w:t>keeping policies and processes, internal auditing, interviews with operational staff, senior management and the Board of directors and AML/CFT assessment in particular lines of busines</w:t>
      </w:r>
      <w:r w:rsidR="00F53CA5">
        <w:t xml:space="preserve">s. </w:t>
      </w:r>
    </w:p>
    <w:p w14:paraId="02376510" w14:textId="54DD3B70" w:rsidR="00AD63E0" w:rsidRPr="00F53CA5" w:rsidRDefault="00AD63E0" w:rsidP="00F53CA5">
      <w:pPr>
        <w:pStyle w:val="Para"/>
      </w:pPr>
      <w:r w:rsidRPr="006565D7">
        <w:t xml:space="preserve">Supervisors and SRBs should use their findings to review and update their ML/TF risk assessments and, where necessary, consider whether their </w:t>
      </w:r>
      <w:r w:rsidRPr="001E654F">
        <w:t xml:space="preserve">approach to AML/CFT supervision and the existing </w:t>
      </w:r>
      <w:r w:rsidRPr="00F53CA5">
        <w:t>AML/CFT rules and guidance remain adequate. Whenever appropriate, and in compliance with relevant confidentiality requirements, these findings should be communicated to TCSPs to enable them to enhance their RBA.</w:t>
      </w:r>
    </w:p>
    <w:p w14:paraId="132306F0" w14:textId="3B98AD03" w:rsidR="00FA5FE4" w:rsidRDefault="00AD63E0" w:rsidP="00F53CA5">
      <w:pPr>
        <w:pStyle w:val="Para"/>
      </w:pPr>
      <w:r w:rsidRPr="00F53CA5">
        <w:t>Record keeping and quality assurance are important so that supervisors can document and test the reasons for significant decisions relating to AML</w:t>
      </w:r>
      <w:r w:rsidR="008D0B07" w:rsidRPr="00F53CA5">
        <w:t>/CFT</w:t>
      </w:r>
      <w:r w:rsidRPr="00F53CA5">
        <w:t xml:space="preserve"> supervision. Supervisors should have an appropriate information retention policy and be able to easily retrieve information while complying with the relevant data protection legislation.</w:t>
      </w:r>
      <w:r w:rsidR="00FA5FE4" w:rsidRPr="00F53CA5">
        <w:t xml:space="preserve"> Record keeping is crucial and fundamental to the supervisors’</w:t>
      </w:r>
      <w:r w:rsidR="00FA5FE4">
        <w:t xml:space="preserve"> work. Undertaking adequate quality assurance is also fundamental to the supervisory process to ensure decision-making/sanctioning is consistent across the supervised population.</w:t>
      </w:r>
    </w:p>
    <w:p w14:paraId="5858265E" w14:textId="77777777" w:rsidR="004E6374" w:rsidRPr="006565D7" w:rsidRDefault="004E6374" w:rsidP="00F53CA5">
      <w:pPr>
        <w:pStyle w:val="Heading3"/>
      </w:pPr>
      <w:bookmarkStart w:id="350" w:name="_Toc1994947"/>
      <w:r w:rsidRPr="00F53CA5">
        <w:t>Enforcement</w:t>
      </w:r>
      <w:bookmarkEnd w:id="350"/>
    </w:p>
    <w:p w14:paraId="3ABE1E08" w14:textId="77777777" w:rsidR="00261C69" w:rsidRPr="00F53CA5" w:rsidRDefault="000A0FA8" w:rsidP="00F53CA5">
      <w:pPr>
        <w:pStyle w:val="Para"/>
      </w:pPr>
      <w:r>
        <w:t>R.28</w:t>
      </w:r>
      <w:r w:rsidRPr="006565D7">
        <w:t xml:space="preserve"> </w:t>
      </w:r>
      <w:r>
        <w:t xml:space="preserve">requires supervisors or SRB to have adequate powers to perform their functions, </w:t>
      </w:r>
      <w:r w:rsidRPr="00F53CA5">
        <w:t xml:space="preserve">including powers to monitor compliance by TCSPs. R.35 requires countries to have the power to impose sanctions, whether criminal, civil or administrative, on DNFPBs, to include TCSPs when providing the services outlined in R.22(e).  Sanctions should be available for the directors and senior management of the firms when a TCSP fails to comply with requirements. </w:t>
      </w:r>
    </w:p>
    <w:p w14:paraId="36C5D77D" w14:textId="65BEAD1F" w:rsidR="00BD1786" w:rsidRPr="00F53CA5" w:rsidRDefault="000A0FA8" w:rsidP="00F53CA5">
      <w:pPr>
        <w:pStyle w:val="Para"/>
      </w:pPr>
      <w:r w:rsidRPr="00F53CA5">
        <w:t>Competent authorities should use proportionate actions, including a range of supervisory interventions and corrective actions to ensure that any identified deficiencies are addressed in a timely manner. Sanctions may range from informal or written warning</w:t>
      </w:r>
      <w:r w:rsidR="00261C69" w:rsidRPr="00F53CA5">
        <w:t>,</w:t>
      </w:r>
      <w:r w:rsidRPr="00F53CA5">
        <w:t xml:space="preserve"> </w:t>
      </w:r>
      <w:r w:rsidRPr="00F53CA5">
        <w:lastRenderedPageBreak/>
        <w:t>reprimand</w:t>
      </w:r>
      <w:r w:rsidR="00261C69" w:rsidRPr="00F53CA5">
        <w:t xml:space="preserve"> and censure</w:t>
      </w:r>
      <w:r w:rsidRPr="00F53CA5">
        <w:t xml:space="preserve"> to punitive sanctions (including suspension or cancellation of registration or licence and criminal prosecutions where appropriate) for more egregious non-compliance, as identified weaknesses can have wider consequences. Generally, systemic breakdowns or significantly inadequate controls will result in more severe supervisory response</w:t>
      </w:r>
      <w:r w:rsidR="00BD1786" w:rsidRPr="00F53CA5">
        <w:t>.</w:t>
      </w:r>
    </w:p>
    <w:p w14:paraId="788364D1" w14:textId="796C64B5" w:rsidR="004E6374" w:rsidRPr="001E654F" w:rsidRDefault="004E6374" w:rsidP="00F53CA5">
      <w:pPr>
        <w:pStyle w:val="Para"/>
      </w:pPr>
      <w:r w:rsidRPr="00F53CA5">
        <w:t xml:space="preserve">Enforcement by supervisors </w:t>
      </w:r>
      <w:r w:rsidR="00174E81" w:rsidRPr="00F53CA5">
        <w:t xml:space="preserve">and SRBs </w:t>
      </w:r>
      <w:r w:rsidRPr="00F53CA5">
        <w:t xml:space="preserve">should be proportionate </w:t>
      </w:r>
      <w:r w:rsidR="00290FC1" w:rsidRPr="00F53CA5">
        <w:t xml:space="preserve">while </w:t>
      </w:r>
      <w:r w:rsidRPr="00F53CA5">
        <w:t>having a deterrent effect. Supervisors and SRBs must have (or must delegate to those who have) sufficient resources to investiga</w:t>
      </w:r>
      <w:r>
        <w:t>te and monitor non-compliance. Enforcement should aim to remove the benefits of non-compliance.</w:t>
      </w:r>
    </w:p>
    <w:p w14:paraId="73BDA310" w14:textId="7748D3D4" w:rsidR="0098261F" w:rsidRDefault="0098261F" w:rsidP="00F53CA5">
      <w:pPr>
        <w:pStyle w:val="Heading3"/>
      </w:pPr>
      <w:bookmarkStart w:id="351" w:name="_Toc1994948"/>
      <w:r w:rsidRPr="00F53CA5">
        <w:t>Guidance</w:t>
      </w:r>
      <w:bookmarkEnd w:id="348"/>
      <w:bookmarkEnd w:id="349"/>
      <w:bookmarkEnd w:id="351"/>
    </w:p>
    <w:p w14:paraId="4D259A51" w14:textId="41A231E2" w:rsidR="0098261F" w:rsidRPr="00F53CA5" w:rsidRDefault="0098261F" w:rsidP="00F53CA5">
      <w:pPr>
        <w:pStyle w:val="Para"/>
      </w:pPr>
      <w:r>
        <w:t xml:space="preserve">Supervisors and SRBs should communicate their regulatory expectations. This could be done through a </w:t>
      </w:r>
      <w:r w:rsidRPr="00F53CA5">
        <w:t xml:space="preserve">consultative process after </w:t>
      </w:r>
      <w:r w:rsidR="005E2764" w:rsidRPr="00F53CA5">
        <w:t xml:space="preserve">meaningful engagement </w:t>
      </w:r>
      <w:r w:rsidRPr="00F53CA5">
        <w:t xml:space="preserve">with relevant stakeholders. This guidance may be in the form of high-level requirements based on desired outcomes, risk-based rules, and information about how supervisors interpret relevant legislation or regulation, or more detailed guidance about how particular AML/CFT controls are best applied. Guidance issued to TCSPs should also discuss ML/TF risk within their sector and outline ML/TF indicators </w:t>
      </w:r>
      <w:r w:rsidR="00FA5FE4" w:rsidRPr="00F53CA5">
        <w:t xml:space="preserve">and methods of risk assessment </w:t>
      </w:r>
      <w:r w:rsidRPr="00F53CA5">
        <w:t>to help them identify suspicious transactions. All such guidance should preferably be consulted on</w:t>
      </w:r>
      <w:r w:rsidR="005E2764" w:rsidRPr="00F53CA5">
        <w:t>, where appropriate,</w:t>
      </w:r>
      <w:r w:rsidRPr="00F53CA5">
        <w:t xml:space="preserve"> and drafted in ways which are appropriate to the context of the role of supervisors and SRBs in the relevant jurisdiction.</w:t>
      </w:r>
    </w:p>
    <w:p w14:paraId="369DF8DB" w14:textId="51CD5B60" w:rsidR="0098261F" w:rsidRPr="00F53CA5" w:rsidRDefault="0098261F" w:rsidP="00F53CA5">
      <w:pPr>
        <w:pStyle w:val="Para"/>
      </w:pPr>
      <w:r w:rsidRPr="00F53CA5">
        <w:t xml:space="preserve">Where supervisors’ guidance remains high-level and principles-based, this may be supplemented by further guidance written by the TCSP sector, which may cover operational issues, and be more detailed and explanatory in nature. </w:t>
      </w:r>
      <w:r w:rsidR="00FA5FE4" w:rsidRPr="00F53CA5">
        <w:t xml:space="preserve">Training events may also provide an effective means to ensure </w:t>
      </w:r>
      <w:r w:rsidR="00CB618A" w:rsidRPr="00F53CA5">
        <w:t>TCSPs</w:t>
      </w:r>
      <w:r w:rsidR="00661317" w:rsidRPr="00F53CA5">
        <w:t xml:space="preserve"> are</w:t>
      </w:r>
      <w:r w:rsidR="00FA5FE4" w:rsidRPr="00F53CA5">
        <w:t xml:space="preserve"> aware</w:t>
      </w:r>
      <w:r w:rsidR="00661317" w:rsidRPr="00F53CA5">
        <w:t xml:space="preserve"> of</w:t>
      </w:r>
      <w:r w:rsidR="00FA5FE4" w:rsidRPr="00F53CA5">
        <w:t xml:space="preserve"> and compliance with AML</w:t>
      </w:r>
      <w:r w:rsidR="00CB618A" w:rsidRPr="00F53CA5">
        <w:t>/CFT</w:t>
      </w:r>
      <w:r w:rsidR="00FA5FE4" w:rsidRPr="00F53CA5">
        <w:t xml:space="preserve"> responsibilities. </w:t>
      </w:r>
      <w:r w:rsidRPr="00F53CA5">
        <w:t>Where supervisors cooperate to produce combined guidance across sectors, supervisors should ensure this guidance adequately addresses the diversity of roles that come within the guidance’s remit, and that such guidance provides practical direction to all its intended recipients. The private sector guidance should be consistent with national legislation and with any guidelines issued by competent authorities with regard to TCSPs and be consistent with all other legal requirements and obligations.</w:t>
      </w:r>
    </w:p>
    <w:p w14:paraId="6560C4D2" w14:textId="066087F1" w:rsidR="0098261F" w:rsidRPr="00F53CA5" w:rsidRDefault="0098261F" w:rsidP="00F53CA5">
      <w:pPr>
        <w:pStyle w:val="Para"/>
      </w:pPr>
      <w:r w:rsidRPr="00F53CA5">
        <w:t xml:space="preserve">Supervisors should consider communicating with other relevant domestic supervisory authorities to secure a coherent interpretation of the legal obligations and to minimise disparities across sectors (such as </w:t>
      </w:r>
      <w:r w:rsidR="00A1312F" w:rsidRPr="00F53CA5">
        <w:t>legal professionals</w:t>
      </w:r>
      <w:r w:rsidRPr="00F53CA5">
        <w:t xml:space="preserve">, accountants and TCSPs). Multiple guidance should not create opportunities for regulatory arbitrage. Relevant supervisory authorities should consider preparing joint guidance in consultation with the relevant sectors, while recognising that in many jurisdictions </w:t>
      </w:r>
      <w:r w:rsidR="00412D01" w:rsidRPr="00F53CA5">
        <w:t>TCSPs</w:t>
      </w:r>
      <w:r w:rsidRPr="00F53CA5">
        <w:t xml:space="preserve"> will consider that separate guidance targeted at </w:t>
      </w:r>
      <w:r w:rsidR="00412D01" w:rsidRPr="00F53CA5">
        <w:t>TCSPs</w:t>
      </w:r>
      <w:r w:rsidRPr="00F53CA5">
        <w:t xml:space="preserve"> will be the most appropriate form.</w:t>
      </w:r>
    </w:p>
    <w:p w14:paraId="4C6B8F45" w14:textId="2211002C" w:rsidR="0098261F" w:rsidRPr="00F53CA5" w:rsidRDefault="0098261F" w:rsidP="00F53CA5">
      <w:pPr>
        <w:pStyle w:val="Para"/>
      </w:pPr>
      <w:r w:rsidRPr="00F53CA5">
        <w:t xml:space="preserve">Information and guidance should be provided by supervisors in an up-to-date and accessible format. It could include sectoral guidance material, </w:t>
      </w:r>
      <w:r w:rsidR="00FA5FE4" w:rsidRPr="00F53CA5">
        <w:t xml:space="preserve">findings of thematic reviews, training events, </w:t>
      </w:r>
      <w:r w:rsidRPr="00F53CA5">
        <w:t>newsletters, internet-based material, oral updates on supervisory visits, meetings and annual reports.</w:t>
      </w:r>
    </w:p>
    <w:p w14:paraId="24803EF8" w14:textId="77777777" w:rsidR="00FA5FE4" w:rsidRDefault="00FA5FE4" w:rsidP="00F53CA5">
      <w:pPr>
        <w:pStyle w:val="Para"/>
      </w:pPr>
      <w:r w:rsidRPr="00F53CA5">
        <w:t>An SRB should ensure that</w:t>
      </w:r>
      <w:r>
        <w:t xml:space="preserve"> advice given by the representative side of the organisation correlates to the rules and guidance set by the supervisory side.</w:t>
      </w:r>
    </w:p>
    <w:p w14:paraId="556421E2" w14:textId="77777777" w:rsidR="0098261F" w:rsidRPr="00A705BF" w:rsidRDefault="0098261F" w:rsidP="00F53CA5">
      <w:pPr>
        <w:pStyle w:val="Heading3"/>
        <w:rPr>
          <w:lang w:val="en-US"/>
        </w:rPr>
      </w:pPr>
      <w:bookmarkStart w:id="352" w:name="_Toc525561755"/>
      <w:bookmarkStart w:id="353" w:name="_Toc525562449"/>
      <w:bookmarkStart w:id="354" w:name="_Toc1994949"/>
      <w:r w:rsidRPr="00F53CA5">
        <w:lastRenderedPageBreak/>
        <w:t>Training</w:t>
      </w:r>
      <w:bookmarkEnd w:id="352"/>
      <w:bookmarkEnd w:id="353"/>
      <w:bookmarkEnd w:id="354"/>
    </w:p>
    <w:p w14:paraId="7D74B071" w14:textId="1F3832F2" w:rsidR="0098261F" w:rsidRPr="00F53CA5" w:rsidRDefault="0098261F" w:rsidP="00F53CA5">
      <w:pPr>
        <w:pStyle w:val="Para"/>
      </w:pPr>
      <w:r>
        <w:t xml:space="preserve">Training is important for their supervision staff to understand the TCSP sector and the various business models that </w:t>
      </w:r>
      <w:r w:rsidRPr="00F53CA5">
        <w:t xml:space="preserve">exist. In particular, supervisors should ensure that staff are trained to assess the quality of a TCSP´s ML/TF risk assessments and to consider the adequacy, proportionality, effectiveness, and efficiency of AML/CFT policies, procedures and internal controls. It is recommended that the training has a </w:t>
      </w:r>
      <w:r w:rsidR="002C57DD" w:rsidRPr="00F53CA5">
        <w:t>practical basis/dimension</w:t>
      </w:r>
      <w:r w:rsidRPr="00F53CA5">
        <w:t>.</w:t>
      </w:r>
    </w:p>
    <w:p w14:paraId="00A1DAFD" w14:textId="3A31E254" w:rsidR="0098261F" w:rsidRDefault="0098261F" w:rsidP="00F53CA5">
      <w:pPr>
        <w:pStyle w:val="Para"/>
      </w:pPr>
      <w:r w:rsidRPr="00F53CA5">
        <w:t>Training should allow supervisory staff to form sound judgments about the quality of the risk assessment</w:t>
      </w:r>
      <w:r w:rsidR="009C4F1A" w:rsidRPr="00F53CA5">
        <w:t>s made by TCSPs</w:t>
      </w:r>
      <w:r w:rsidRPr="00F53CA5">
        <w:t xml:space="preserve"> and the adequacy and proportionality of a TCPS´s AML/CFT controls. It should also aim at achieving</w:t>
      </w:r>
      <w:r>
        <w:t xml:space="preserve"> consistency in the supervisory approach at a national level, in cases where there are multiple competent supervisory authorities or when the national supervisory model is devolved or fragmented.</w:t>
      </w:r>
    </w:p>
    <w:p w14:paraId="54DBB47F" w14:textId="77777777" w:rsidR="002359CF" w:rsidRDefault="002359CF" w:rsidP="00F53CA5">
      <w:pPr>
        <w:pStyle w:val="Heading3"/>
      </w:pPr>
      <w:bookmarkStart w:id="355" w:name="_Toc1994950"/>
      <w:bookmarkStart w:id="356" w:name="_Toc525561756"/>
      <w:bookmarkStart w:id="357" w:name="_Toc525562450"/>
      <w:r w:rsidRPr="00F53CA5">
        <w:t>Endorsements</w:t>
      </w:r>
      <w:bookmarkEnd w:id="355"/>
    </w:p>
    <w:p w14:paraId="0BA84B60" w14:textId="77777777" w:rsidR="002359CF" w:rsidRDefault="002359CF" w:rsidP="00F53CA5">
      <w:pPr>
        <w:pStyle w:val="Para"/>
      </w:pPr>
      <w:r>
        <w:t xml:space="preserve">Supervisors should avoid </w:t>
      </w:r>
      <w:r w:rsidRPr="00F53CA5">
        <w:t>endorsing</w:t>
      </w:r>
      <w:r>
        <w:t xml:space="preserve"> any 3</w:t>
      </w:r>
      <w:r w:rsidRPr="002E7A2B">
        <w:rPr>
          <w:vertAlign w:val="superscript"/>
        </w:rPr>
        <w:t>rd</w:t>
      </w:r>
      <w:r>
        <w:t xml:space="preserve"> party commercial providers of AML systems, tools or software to avoid conflicts of interest in the effective supervision of firms.</w:t>
      </w:r>
    </w:p>
    <w:p w14:paraId="5C5AB9CE" w14:textId="5188CE78" w:rsidR="0098261F" w:rsidRDefault="0098261F" w:rsidP="00F53CA5">
      <w:pPr>
        <w:pStyle w:val="Heading3"/>
      </w:pPr>
      <w:bookmarkStart w:id="358" w:name="_Toc1994951"/>
      <w:r w:rsidRPr="00F53CA5">
        <w:t>Information</w:t>
      </w:r>
      <w:r>
        <w:t xml:space="preserve"> exchange</w:t>
      </w:r>
      <w:bookmarkEnd w:id="356"/>
      <w:bookmarkEnd w:id="357"/>
      <w:bookmarkEnd w:id="358"/>
      <w:r>
        <w:t xml:space="preserve"> </w:t>
      </w:r>
    </w:p>
    <w:p w14:paraId="1F96FFE3" w14:textId="2575DA22" w:rsidR="0098261F" w:rsidRPr="00F53CA5" w:rsidRDefault="0098261F" w:rsidP="00F53CA5">
      <w:pPr>
        <w:pStyle w:val="Para"/>
      </w:pPr>
      <w:r w:rsidRPr="00F53CA5">
        <w:t>Information exchange between the public and private sector is of importance in the TCSP sector and may form an integral part of a country's strategy for combating ML/TF</w:t>
      </w:r>
      <w:r w:rsidR="005E2764" w:rsidRPr="00F53CA5">
        <w:t>, in accordance with relevant data protection legislation</w:t>
      </w:r>
      <w:r w:rsidRPr="00F53CA5">
        <w:t>. Information sharing and intelligence sharing arrangements between supervisors and public authorities (such as law enforcement) should be robust and secure.</w:t>
      </w:r>
    </w:p>
    <w:p w14:paraId="7EE3638E" w14:textId="77777777" w:rsidR="0098261F" w:rsidRPr="00F53CA5" w:rsidRDefault="0098261F" w:rsidP="00F53CA5">
      <w:pPr>
        <w:pStyle w:val="Para"/>
      </w:pPr>
      <w:r w:rsidRPr="00F53CA5">
        <w:t xml:space="preserve">In situations where TSCP’s do not have experience, or have limited capacity for an effective assessment of ML/TF risk, it will be important for public authorities to share risk information to better help inform the risk assessments of TSCP’s. </w:t>
      </w:r>
    </w:p>
    <w:p w14:paraId="746F3259" w14:textId="77777777" w:rsidR="0098261F" w:rsidRDefault="0098261F" w:rsidP="00F53CA5">
      <w:pPr>
        <w:pStyle w:val="Para"/>
      </w:pPr>
      <w:r w:rsidRPr="00F53CA5">
        <w:t>The type of informatio</w:t>
      </w:r>
      <w:r>
        <w:t>n that could be shared between the public and private sectors include:</w:t>
      </w:r>
    </w:p>
    <w:p w14:paraId="68EB7298" w14:textId="77777777" w:rsidR="0098261F" w:rsidRPr="00E90FDB" w:rsidRDefault="0098261F" w:rsidP="00533ED1">
      <w:pPr>
        <w:pStyle w:val="BulletedList"/>
        <w:numPr>
          <w:ilvl w:val="0"/>
          <w:numId w:val="157"/>
        </w:numPr>
      </w:pPr>
      <w:r w:rsidRPr="00E90FDB">
        <w:t>ML/TF risk assessments;</w:t>
      </w:r>
    </w:p>
    <w:p w14:paraId="0221377C" w14:textId="102D8B6A" w:rsidR="00BD1786" w:rsidRPr="00E90FDB" w:rsidRDefault="00BD1786" w:rsidP="00533ED1">
      <w:pPr>
        <w:pStyle w:val="BulletedList"/>
        <w:numPr>
          <w:ilvl w:val="0"/>
          <w:numId w:val="157"/>
        </w:numPr>
      </w:pPr>
      <w:r w:rsidRPr="00E90FDB">
        <w:t xml:space="preserve">typologies </w:t>
      </w:r>
      <w:r w:rsidR="002C1BE5">
        <w:t xml:space="preserve">(i.e., case studies) </w:t>
      </w:r>
      <w:r w:rsidRPr="00E90FDB">
        <w:t>of how money launderers or terrorist financers have misused TCSPs</w:t>
      </w:r>
      <w:r>
        <w:t xml:space="preserve"> or trusts, companies or other legal entities or arrangements managed by TCSPs</w:t>
      </w:r>
      <w:r w:rsidRPr="00E90FDB">
        <w:t>;</w:t>
      </w:r>
    </w:p>
    <w:p w14:paraId="08B28DA7" w14:textId="77777777" w:rsidR="0098261F" w:rsidRPr="00E90FDB" w:rsidRDefault="0098261F" w:rsidP="00533ED1">
      <w:pPr>
        <w:pStyle w:val="BulletedList"/>
        <w:numPr>
          <w:ilvl w:val="0"/>
          <w:numId w:val="157"/>
        </w:numPr>
      </w:pPr>
      <w:r w:rsidRPr="00E90FDB">
        <w:t xml:space="preserve">feedback on STRs and other relevant reports; </w:t>
      </w:r>
    </w:p>
    <w:p w14:paraId="44F0EA74" w14:textId="77777777" w:rsidR="0098261F" w:rsidRPr="00E90FDB" w:rsidRDefault="0098261F" w:rsidP="00533ED1">
      <w:pPr>
        <w:pStyle w:val="BulletedList"/>
        <w:numPr>
          <w:ilvl w:val="0"/>
          <w:numId w:val="157"/>
        </w:numPr>
      </w:pPr>
      <w:r w:rsidRPr="00E90FDB">
        <w:t xml:space="preserve">targeted unclassified intelligence. In specific circumstances, and subject to appropriate safeguards such as confidentiality agreements, it may also be appropriate for authorities to share targeted confidential information with TCSP’s as a class or individually; and </w:t>
      </w:r>
    </w:p>
    <w:p w14:paraId="695F331D" w14:textId="77777777" w:rsidR="0098261F" w:rsidRPr="00E90FDB" w:rsidRDefault="0098261F" w:rsidP="00533ED1">
      <w:pPr>
        <w:pStyle w:val="BulletedList"/>
        <w:numPr>
          <w:ilvl w:val="0"/>
          <w:numId w:val="157"/>
        </w:numPr>
      </w:pPr>
      <w:r w:rsidRPr="00E90FDB">
        <w:t>countries, persons or organisations whose assets or transactions should be frozen pursuant to targeted financial sanctions as required by R</w:t>
      </w:r>
      <w:r>
        <w:t>.</w:t>
      </w:r>
      <w:r w:rsidRPr="00E90FDB">
        <w:t>6.</w:t>
      </w:r>
    </w:p>
    <w:p w14:paraId="0438CA9D" w14:textId="0464BC89" w:rsidR="0098261F" w:rsidRPr="00F53CA5" w:rsidRDefault="005F62B6" w:rsidP="00F53CA5">
      <w:pPr>
        <w:pStyle w:val="Para"/>
      </w:pPr>
      <w:r>
        <w:t xml:space="preserve">Domestic co-operation and information exchange between FIU and supervisors of the TCSP sector and among </w:t>
      </w:r>
      <w:r w:rsidR="005E2764">
        <w:t xml:space="preserve">competent authorities including </w:t>
      </w:r>
      <w:r>
        <w:t>law enforcement, intelligence, FIU</w:t>
      </w:r>
      <w:r w:rsidR="005E2764">
        <w:t xml:space="preserve">, tax authorities, </w:t>
      </w:r>
      <w:r w:rsidRPr="00F53CA5">
        <w:t>and TSCP’s supervisors is also important for effective monitoring/supervision of the sector</w:t>
      </w:r>
      <w:r w:rsidR="0098261F" w:rsidRPr="00F53CA5">
        <w:t>.</w:t>
      </w:r>
      <w:r w:rsidR="009C4F1A" w:rsidRPr="00F53CA5">
        <w:t xml:space="preserve"> Such co-operation and co-ordination may help avoid gaps and overlaps in supervision and ensure sharing of good practices and findings. </w:t>
      </w:r>
      <w:r w:rsidR="002359CF" w:rsidRPr="00F53CA5">
        <w:t xml:space="preserve">Such intelligence should also inform a supervisor’s risk-based approach to supervisory </w:t>
      </w:r>
      <w:r w:rsidR="002359CF" w:rsidRPr="00F53CA5">
        <w:lastRenderedPageBreak/>
        <w:t xml:space="preserve">assurance. </w:t>
      </w:r>
      <w:r w:rsidR="009C4F1A" w:rsidRPr="00F53CA5">
        <w:t>Intelligence about active misconduct investigations and completed cases between supervisors and law enforcement agencies should also be encouraged. When sharing information, protocols and safeguards should be implemented in order to protect sensitive data.</w:t>
      </w:r>
    </w:p>
    <w:p w14:paraId="11C18BCE" w14:textId="27A18BBE" w:rsidR="0098261F" w:rsidRDefault="0098261F" w:rsidP="00A404A5">
      <w:pPr>
        <w:pStyle w:val="Para"/>
        <w:spacing w:line="228" w:lineRule="auto"/>
      </w:pPr>
      <w:r w:rsidRPr="00F53CA5">
        <w:t xml:space="preserve">Cross border information sharing of authorities and private sector with their international counterparts is of importance in the TCSP sector, taking account </w:t>
      </w:r>
      <w:r w:rsidR="005E2764" w:rsidRPr="00F53CA5">
        <w:t xml:space="preserve">of </w:t>
      </w:r>
      <w:r w:rsidRPr="00F53CA5">
        <w:t>the multi-jurisdictional reach of many TCSP providers</w:t>
      </w:r>
      <w:r>
        <w:t>.</w:t>
      </w:r>
    </w:p>
    <w:p w14:paraId="491D1C1A" w14:textId="08632192" w:rsidR="0098261F" w:rsidRDefault="0098261F" w:rsidP="00F53CA5">
      <w:pPr>
        <w:pStyle w:val="Heading2"/>
      </w:pPr>
      <w:bookmarkStart w:id="359" w:name="_Toc525561757"/>
      <w:bookmarkStart w:id="360" w:name="_Toc525562451"/>
      <w:bookmarkStart w:id="361" w:name="_Toc1994952"/>
      <w:r>
        <w:t xml:space="preserve">Supervision of beneficial </w:t>
      </w:r>
      <w:r w:rsidRPr="00F53CA5">
        <w:t>ownership</w:t>
      </w:r>
      <w:r>
        <w:t xml:space="preserve"> requirements</w:t>
      </w:r>
      <w:bookmarkEnd w:id="359"/>
      <w:bookmarkEnd w:id="360"/>
      <w:r w:rsidR="00247DEA">
        <w:t xml:space="preserve"> </w:t>
      </w:r>
      <w:r w:rsidR="00247DEA" w:rsidRPr="00247DEA">
        <w:t>and source of funds/wealth requirements</w:t>
      </w:r>
      <w:bookmarkEnd w:id="361"/>
    </w:p>
    <w:p w14:paraId="7CCBE91C" w14:textId="77777777" w:rsidR="0098261F" w:rsidRPr="00F53CA5" w:rsidRDefault="0098261F" w:rsidP="00A404A5">
      <w:pPr>
        <w:pStyle w:val="Para"/>
        <w:spacing w:line="228" w:lineRule="auto"/>
      </w:pPr>
      <w:r>
        <w:t xml:space="preserve">TCSPs </w:t>
      </w:r>
      <w:r w:rsidRPr="00F53CA5">
        <w:t>fulfil a key gatekeeper role to the wider financial community through the activities they undertake in the formation of legal persons and legal arrangements and where they are involved in the management and administration of legal persons and legal arrangements.</w:t>
      </w:r>
    </w:p>
    <w:p w14:paraId="35BAC4F1" w14:textId="77777777" w:rsidR="0098261F" w:rsidRPr="00F53CA5" w:rsidRDefault="0098261F" w:rsidP="00A404A5">
      <w:pPr>
        <w:pStyle w:val="Para"/>
        <w:spacing w:line="228" w:lineRule="auto"/>
      </w:pPr>
      <w:r w:rsidRPr="00F53CA5">
        <w:t>As DNFBPs, they are required to apply CDD measures to beneficial owners of legal persons and legal arrangements to whom they are providing advice or formation services. In a number of countries a TCSP may be required as part of the process of registering the legal person and will be responsible for providing basic and/or beneficial ownership information to the registry.</w:t>
      </w:r>
    </w:p>
    <w:p w14:paraId="59222F6F" w14:textId="40CA20FC" w:rsidR="0098261F" w:rsidRPr="00F53CA5" w:rsidRDefault="0098261F" w:rsidP="00A404A5">
      <w:pPr>
        <w:pStyle w:val="Para"/>
        <w:spacing w:line="228" w:lineRule="auto"/>
      </w:pPr>
      <w:r w:rsidRPr="00F53CA5">
        <w:t>In their capacity as company directors, trustees or foundation officials etc. of these legal persons and legal arrangements, TCSPs often represent these legal persons and legal arrangements in their dealings with other financial institutions and DNFBPs that are providing for example banking or audit servic</w:t>
      </w:r>
      <w:r w:rsidR="00A408BA" w:rsidRPr="00F53CA5">
        <w:t>es to these types of customer.</w:t>
      </w:r>
    </w:p>
    <w:p w14:paraId="0F82A605" w14:textId="77777777" w:rsidR="0098261F" w:rsidRPr="00F53CA5" w:rsidRDefault="0098261F" w:rsidP="00A404A5">
      <w:pPr>
        <w:pStyle w:val="Para"/>
        <w:spacing w:line="228" w:lineRule="auto"/>
      </w:pPr>
      <w:r w:rsidRPr="00F53CA5">
        <w:t>These financial institutions and other DNFBPs may request the CDD information collected and maintained by TCSPs, who because of their role as director or trustee, will act as the principal point of contact with the legal person or legal arrangement. These financial institutions and other DNFBPs may never meet the beneficial owner/s of the legal person or legal arrangement.</w:t>
      </w:r>
    </w:p>
    <w:p w14:paraId="2227C87D" w14:textId="3B60EE55" w:rsidR="0098261F" w:rsidRPr="00F53CA5" w:rsidRDefault="0098261F" w:rsidP="00A404A5">
      <w:pPr>
        <w:pStyle w:val="Para"/>
        <w:spacing w:line="228" w:lineRule="auto"/>
      </w:pPr>
      <w:r w:rsidRPr="00F53CA5">
        <w:t>Under R.28, countries should ensure that TCSPs are subject to effective systems for monitoring and ensuring compliance with AML/CFT requirements, which includes identifying the</w:t>
      </w:r>
      <w:r w:rsidR="007F4D60" w:rsidRPr="00F53CA5">
        <w:t xml:space="preserve"> beneficial owner/s and taking </w:t>
      </w:r>
      <w:r w:rsidRPr="00F53CA5">
        <w:t>reasonable measures to verify them. Additionally R.24 and R.25 regarding transparency of beneficial ownership of legal persons and legal arrangements, require countries to have mechanisms for ensuring that adequate, accurate and up to date information is available on a timely basis on these legal entities.</w:t>
      </w:r>
      <w:r w:rsidR="005E2764" w:rsidRPr="00F53CA5">
        <w:t xml:space="preserve"> The FATF and Egmont Group also published the Report on Concealment of Beneficial Ownership in July 2018 which identified issues to help address the vulnerabilities associated with the concealment of beneficial ownership.</w:t>
      </w:r>
    </w:p>
    <w:p w14:paraId="6B431F80" w14:textId="7349F690" w:rsidR="0098261F" w:rsidRDefault="0098261F" w:rsidP="00A404A5">
      <w:pPr>
        <w:pStyle w:val="Para"/>
        <w:spacing w:line="228" w:lineRule="auto"/>
      </w:pPr>
      <w:r w:rsidRPr="00F53CA5">
        <w:t>R.24 and R.25 also require countries to have mechanisms to ensure that information provided to registries is accurate and updated on a timely basis and that beneficial ownership information is accurate and current.</w:t>
      </w:r>
      <w:r w:rsidR="00F54BBB" w:rsidRPr="00F53CA5">
        <w:t xml:space="preserve"> </w:t>
      </w:r>
      <w:r w:rsidR="000245F9" w:rsidRPr="00F53CA5">
        <w:t>T</w:t>
      </w:r>
      <w:r w:rsidR="00F54BBB" w:rsidRPr="00F53CA5">
        <w:t>o determine</w:t>
      </w:r>
      <w:r w:rsidR="00F54BBB" w:rsidRPr="00BC0058">
        <w:t xml:space="preserve"> the adequacy of a</w:t>
      </w:r>
      <w:r w:rsidR="00F54BBB">
        <w:t xml:space="preserve"> s</w:t>
      </w:r>
      <w:r w:rsidR="00F54BBB" w:rsidRPr="00BC0058">
        <w:t>ystem for monitoring and ensuring compliance, countries should have regard to the risk</w:t>
      </w:r>
      <w:r w:rsidR="00F54BBB">
        <w:t xml:space="preserve"> </w:t>
      </w:r>
      <w:r w:rsidR="00F54BBB" w:rsidRPr="00BC0058">
        <w:t>of AML/C</w:t>
      </w:r>
      <w:r w:rsidR="00B51D35">
        <w:t>FT</w:t>
      </w:r>
      <w:r w:rsidR="00F54BBB" w:rsidRPr="00BC0058">
        <w:t xml:space="preserve"> in given businesses (i.e.</w:t>
      </w:r>
      <w:r w:rsidR="000245F9">
        <w:t>,</w:t>
      </w:r>
      <w:r w:rsidR="00F54BBB" w:rsidRPr="00BC0058">
        <w:t xml:space="preserve"> if there is a proven higher risk then higher</w:t>
      </w:r>
      <w:r w:rsidR="00F54BBB">
        <w:t xml:space="preserve"> </w:t>
      </w:r>
      <w:r w:rsidR="00F54BBB" w:rsidRPr="00BC0058">
        <w:t xml:space="preserve">monitoring measures should be taken). </w:t>
      </w:r>
      <w:r w:rsidR="00F54BBB">
        <w:t>TCSPs</w:t>
      </w:r>
      <w:r w:rsidR="00F54BBB" w:rsidRPr="00BC0058">
        <w:t xml:space="preserve"> must</w:t>
      </w:r>
      <w:r w:rsidR="000245F9">
        <w:t>,</w:t>
      </w:r>
      <w:r w:rsidR="00F54BBB" w:rsidRPr="00BC0058">
        <w:t xml:space="preserve"> however</w:t>
      </w:r>
      <w:r w:rsidR="000245F9">
        <w:t>,</w:t>
      </w:r>
      <w:r w:rsidR="00F54BBB" w:rsidRPr="00BC0058">
        <w:t xml:space="preserve"> be cautious in</w:t>
      </w:r>
      <w:r w:rsidR="00F54BBB">
        <w:t xml:space="preserve"> </w:t>
      </w:r>
      <w:r w:rsidR="00F54BBB" w:rsidRPr="00BC0058">
        <w:t>blindly relying on the information contained in registries. In addition it is important for</w:t>
      </w:r>
      <w:r w:rsidR="00F54BBB">
        <w:t xml:space="preserve"> </w:t>
      </w:r>
      <w:r w:rsidR="00F54BBB" w:rsidRPr="00BC0058">
        <w:t>there to be some form of ongoing monitoring during a relationship to detect</w:t>
      </w:r>
      <w:r w:rsidR="00F54BBB">
        <w:t xml:space="preserve"> </w:t>
      </w:r>
      <w:r w:rsidR="00F54BBB" w:rsidRPr="00BC0058">
        <w:t>unusual and potentially suspicious transactions as a result of a change in beneficial</w:t>
      </w:r>
      <w:r w:rsidR="00F54BBB">
        <w:t xml:space="preserve"> </w:t>
      </w:r>
      <w:r w:rsidR="00F54BBB" w:rsidRPr="00BC0058">
        <w:t>ownership as registries are unlikely to provide such information on a dynamic basis.</w:t>
      </w:r>
    </w:p>
    <w:p w14:paraId="091C6545" w14:textId="300311C8" w:rsidR="0098261F" w:rsidRPr="00F53CA5" w:rsidRDefault="0098261F" w:rsidP="00A404A5">
      <w:pPr>
        <w:pStyle w:val="Para"/>
        <w:spacing w:line="228" w:lineRule="auto"/>
      </w:pPr>
      <w:r>
        <w:lastRenderedPageBreak/>
        <w:t xml:space="preserve">In accordance with R.28, TCSPs should be subject to risk-based supervision by a supervisor or SRB </w:t>
      </w:r>
      <w:r w:rsidRPr="00F53CA5">
        <w:t xml:space="preserve">covering the beneficial ownership and record-keeping requirements of R.10 and R.11. </w:t>
      </w:r>
      <w:r w:rsidR="00290FC1" w:rsidRPr="00F53CA5">
        <w:t>The Supervisor or SRB should have a supervisory framework which can help in ascertaining that accurate and current basic and beneficial ownership information on legal person and legal arrangements is maintained and will be available on a timely basis to competent authorities.</w:t>
      </w:r>
    </w:p>
    <w:p w14:paraId="2165AD9C" w14:textId="0DAADE3E" w:rsidR="0098261F" w:rsidRDefault="0098261F" w:rsidP="00F53CA5">
      <w:pPr>
        <w:pStyle w:val="Para"/>
      </w:pPr>
      <w:r w:rsidRPr="00F53CA5">
        <w:t>The supervisor or SRB should</w:t>
      </w:r>
      <w:r>
        <w:t xml:space="preserve"> analyse the adequacy of the procedures and the controls, which TCSPs have established to identify and record the beneficial owner. In addition, they should undertake sample testing of client files on a representative basis to gauge the effectiveness of the application of those measures and the accessibility of accurate beneficial ownership information.</w:t>
      </w:r>
    </w:p>
    <w:p w14:paraId="54C1ED39" w14:textId="301C71CD" w:rsidR="0098261F" w:rsidRPr="00F53CA5" w:rsidRDefault="0098261F" w:rsidP="00F53CA5">
      <w:pPr>
        <w:pStyle w:val="Para"/>
      </w:pPr>
      <w:r>
        <w:t>As part of the onsite inspection</w:t>
      </w:r>
      <w:r w:rsidR="00586CB7">
        <w:t>,</w:t>
      </w:r>
      <w:r>
        <w:t xml:space="preserve"> supervisors or SRBs should examine the policies, procedures and controls that are in place for on-boarding of new clients to establish what information </w:t>
      </w:r>
      <w:r w:rsidRPr="00F53CA5">
        <w:t>and documentation is required where the client is a natural person or legal person or trust or other similar legal arrangements. Supervisors or SRBs should verify the adequacy of these procedures and controls to identify beneficial owners in order to understand the ownership and control structure of these legal person or trust or other similar arrangements and to ascertain the business activity.</w:t>
      </w:r>
    </w:p>
    <w:p w14:paraId="2EB67C59" w14:textId="77777777" w:rsidR="0098261F" w:rsidRPr="00F53CA5" w:rsidRDefault="0098261F" w:rsidP="00F53CA5">
      <w:pPr>
        <w:pStyle w:val="Para"/>
      </w:pPr>
      <w:r w:rsidRPr="00F53CA5">
        <w:t>Sample testing of client files will also assist the supervisor or SRB in determining whether controls are effective for the accurate identification of beneficial ownership, accurate disclosure of that information to relevant parties and for establishing if that information is readily available. The extent of testing will be dependent on risk but the files selected should reflect the profile of the client base and include both new and existing clients.</w:t>
      </w:r>
    </w:p>
    <w:p w14:paraId="29CD379A" w14:textId="5C8592A8" w:rsidR="0098261F" w:rsidRPr="00F53CA5" w:rsidRDefault="0098261F" w:rsidP="00A404A5">
      <w:pPr>
        <w:pStyle w:val="Para"/>
        <w:spacing w:line="228" w:lineRule="auto"/>
      </w:pPr>
      <w:r w:rsidRPr="00F53CA5">
        <w:t>Supervisors or SRBs should also consider the measures the TCSP has put in place for monitoring changes in the beneficial ownership of legal person or trust or other similar arrangements to whom they provide services or act to ensure that beneficial ownership information is accurate and current and to determine how timely updated filings are made, where relevant to a registry.</w:t>
      </w:r>
    </w:p>
    <w:p w14:paraId="40DADD8C" w14:textId="485A38A4" w:rsidR="0098261F" w:rsidRPr="00F53CA5" w:rsidRDefault="0098261F" w:rsidP="00A404A5">
      <w:pPr>
        <w:pStyle w:val="Para"/>
        <w:spacing w:line="228" w:lineRule="auto"/>
      </w:pPr>
      <w:r w:rsidRPr="00F53CA5">
        <w:t>During examinations, supervisor</w:t>
      </w:r>
      <w:r w:rsidR="00C17A45" w:rsidRPr="00F53CA5">
        <w:t>s</w:t>
      </w:r>
      <w:r w:rsidRPr="00F53CA5">
        <w:t xml:space="preserve"> or SRB</w:t>
      </w:r>
      <w:r w:rsidR="00C17A45" w:rsidRPr="00F53CA5">
        <w:t>s</w:t>
      </w:r>
      <w:r w:rsidRPr="00F53CA5">
        <w:t xml:space="preserve"> should consider whether to verify the beneficial ownership information available on the files of the TCSP with that held by the relevant registry, if any.</w:t>
      </w:r>
    </w:p>
    <w:p w14:paraId="27720C18" w14:textId="19D10A82" w:rsidR="0098261F" w:rsidRPr="00F53CA5" w:rsidRDefault="0098261F" w:rsidP="00A404A5">
      <w:pPr>
        <w:pStyle w:val="Para"/>
        <w:spacing w:line="228" w:lineRule="auto"/>
      </w:pPr>
      <w:r w:rsidRPr="00F53CA5">
        <w:t>Supervisor</w:t>
      </w:r>
      <w:r w:rsidR="00C17A45" w:rsidRPr="00F53CA5">
        <w:t>s</w:t>
      </w:r>
      <w:r w:rsidRPr="00F53CA5">
        <w:t xml:space="preserve"> or SRB</w:t>
      </w:r>
      <w:r w:rsidR="00C17A45" w:rsidRPr="00F53CA5">
        <w:t>s</w:t>
      </w:r>
      <w:r w:rsidRPr="00F53CA5">
        <w:t xml:space="preserve"> may also take into account information from other competent authorities such as FIUs public reports and information from other financial institutions or DNFBPs, to verify the efficacy of the TCSP’s controls.</w:t>
      </w:r>
    </w:p>
    <w:p w14:paraId="1517CD33" w14:textId="5C46BECB" w:rsidR="000867CE" w:rsidRDefault="000867CE" w:rsidP="00A404A5">
      <w:pPr>
        <w:pStyle w:val="Para"/>
        <w:spacing w:line="228" w:lineRule="auto"/>
      </w:pPr>
      <w:r w:rsidRPr="00F53CA5">
        <w:t xml:space="preserve">TCSPs should be subject to risk-based supervision by a supervisor or SRB covering the requirements to identify and evidence the source of funds and source of wealth for </w:t>
      </w:r>
      <w:r w:rsidR="00C17A45" w:rsidRPr="00F53CA5">
        <w:t xml:space="preserve">higher risk </w:t>
      </w:r>
      <w:r w:rsidRPr="00F53CA5">
        <w:t>clients to whom they provide services. The supervisor or SRB should have the supervisory framework, which can help in ascertaining that accurate and current information on sources of funds and wealth is properly</w:t>
      </w:r>
      <w:r w:rsidRPr="00F871C6">
        <w:t xml:space="preserve"> evidenced and available on a timely basis to competent authorities. The supervisor or SRB should analyse the adequacy of the procedures and the controls, which </w:t>
      </w:r>
      <w:r>
        <w:t xml:space="preserve">TCSPs </w:t>
      </w:r>
      <w:r w:rsidRPr="00F871C6">
        <w:t>have established to identify and record sources of wealth in arrangements.</w:t>
      </w:r>
    </w:p>
    <w:p w14:paraId="5D46AC17" w14:textId="77777777" w:rsidR="0098261F" w:rsidRDefault="0098261F" w:rsidP="00F53CA5">
      <w:pPr>
        <w:pStyle w:val="Heading2"/>
      </w:pPr>
      <w:bookmarkStart w:id="362" w:name="_Toc1994953"/>
      <w:r w:rsidRPr="00F53CA5">
        <w:t>Nominee</w:t>
      </w:r>
      <w:r>
        <w:t xml:space="preserve"> arrangements</w:t>
      </w:r>
      <w:bookmarkEnd w:id="362"/>
    </w:p>
    <w:p w14:paraId="7B44D11C" w14:textId="4A4917B3" w:rsidR="0098261F" w:rsidRPr="00F53CA5" w:rsidRDefault="0098261F" w:rsidP="00F53CA5">
      <w:pPr>
        <w:pStyle w:val="Para"/>
      </w:pPr>
      <w:r>
        <w:t xml:space="preserve">A nominee director is a person who has been appointed to the Board of Directors of the legal person who represents the interests and acts in accordance with instructions </w:t>
      </w:r>
      <w:r>
        <w:lastRenderedPageBreak/>
        <w:t xml:space="preserve">issued by another person, usually the beneficial owner. A nominee shareholder is a natural or legal person who is </w:t>
      </w:r>
      <w:r w:rsidRPr="00F53CA5">
        <w:t>officially recorded in the Register of Members (shareholders) of a company as the holder of a certain number of specified shares, which are held on behalf of another person who is the beneficial owner. The shares may be held on trust or through a custodial agreement. This nominee relationship should be disclosed to the company and to any relevant registry.</w:t>
      </w:r>
    </w:p>
    <w:p w14:paraId="1A170873" w14:textId="06536C71" w:rsidR="0098261F" w:rsidRPr="00F53CA5" w:rsidRDefault="0098261F" w:rsidP="00F53CA5">
      <w:pPr>
        <w:pStyle w:val="Para"/>
      </w:pPr>
      <w:r w:rsidRPr="00F53CA5">
        <w:t>In a number of countries, TCSPs act or arrange for other person</w:t>
      </w:r>
      <w:r w:rsidR="005E2764" w:rsidRPr="00F53CA5">
        <w:t>s</w:t>
      </w:r>
      <w:r w:rsidRPr="00F53CA5">
        <w:t xml:space="preserve"> (either individual</w:t>
      </w:r>
      <w:r w:rsidR="005E2764" w:rsidRPr="00F53CA5">
        <w:t>s</w:t>
      </w:r>
      <w:r w:rsidRPr="00F53CA5">
        <w:t xml:space="preserve"> or corporate) to act as director</w:t>
      </w:r>
      <w:r w:rsidR="005E2764" w:rsidRPr="00F53CA5">
        <w:t>s</w:t>
      </w:r>
      <w:r w:rsidRPr="00F53CA5">
        <w:t xml:space="preserve"> and act or arrange for other person</w:t>
      </w:r>
      <w:r w:rsidR="005E2764" w:rsidRPr="00F53CA5">
        <w:t>s</w:t>
      </w:r>
      <w:r w:rsidRPr="00F53CA5">
        <w:t xml:space="preserve"> (either individual</w:t>
      </w:r>
      <w:r w:rsidR="005E2764" w:rsidRPr="00F53CA5">
        <w:t>s</w:t>
      </w:r>
      <w:r w:rsidRPr="00F53CA5">
        <w:t xml:space="preserve"> or corporate) to act as a nominee shareholder for another person as part of their professional services. In accordance with R.</w:t>
      </w:r>
      <w:r w:rsidR="005E2764" w:rsidRPr="00F53CA5">
        <w:t>24</w:t>
      </w:r>
      <w:r w:rsidRPr="00F53CA5">
        <w:t xml:space="preserve">, these TCSPs should be subject to licensing/registration and supervision, </w:t>
      </w:r>
      <w:r w:rsidR="005100BA" w:rsidRPr="00F53CA5">
        <w:t>and where acting as nominee shareholder, their status disclosed.</w:t>
      </w:r>
    </w:p>
    <w:p w14:paraId="00ABDF33" w14:textId="77777777" w:rsidR="0098261F" w:rsidRPr="00F53CA5" w:rsidRDefault="0098261F" w:rsidP="00F53CA5">
      <w:pPr>
        <w:pStyle w:val="Para"/>
      </w:pPr>
      <w:r w:rsidRPr="00F53CA5">
        <w:t>There will be legitimate reasons for a TCSP to act as or provide directors to a legal person or act or provide nominee shareholders. It should be apparent from the records of the legal person that it is the TCSP fulfilling these roles as the identity of the TCSP, or that of its members of staff will be disclosed on the register of directors, register of members for example.</w:t>
      </w:r>
    </w:p>
    <w:p w14:paraId="3DFD835C" w14:textId="4973D05D" w:rsidR="00BD1786" w:rsidRDefault="00BD1786" w:rsidP="00F53CA5">
      <w:pPr>
        <w:pStyle w:val="Para"/>
      </w:pPr>
      <w:r w:rsidRPr="00F53CA5">
        <w:t xml:space="preserve">There are legitimate reasons for a company to have a nominee shareholder including for the settlement and safekeeping of shares in listed companies where post traded specialists act as </w:t>
      </w:r>
      <w:r w:rsidR="00E30E52" w:rsidRPr="00F53CA5">
        <w:rPr>
          <w:rFonts w:hint="eastAsia"/>
        </w:rPr>
        <w:t>nominee</w:t>
      </w:r>
      <w:r w:rsidR="00E30E52" w:rsidRPr="00F53CA5">
        <w:t xml:space="preserve"> </w:t>
      </w:r>
      <w:r w:rsidRPr="00F53CA5">
        <w:t>shareholders. Company law may impose requirement for a legal person to have more than one member, which may also give rise to nominee arrangements. However, these nominee director and nominee shareholder arrangements can be misused to hide the identity of the true beneficial owner/s of the legal person. There may be individuals prepared to lend their name as a director or shareholder of a legal person on behalf of another without disclosing the identity of, or from whom, they will take instructions or whom they represent. They are sometimes referred to as “strawmen</w:t>
      </w:r>
      <w:r>
        <w:t xml:space="preserve">”. </w:t>
      </w:r>
    </w:p>
    <w:p w14:paraId="42526452" w14:textId="394F34FD" w:rsidR="0098261F" w:rsidRPr="00F53CA5" w:rsidRDefault="0098261F" w:rsidP="00F53CA5">
      <w:pPr>
        <w:pStyle w:val="Para"/>
      </w:pPr>
      <w:r>
        <w:t xml:space="preserve">Nominee directors and nominees shareholders can create obstacles to identifying the true beneficial </w:t>
      </w:r>
      <w:r w:rsidRPr="00F53CA5">
        <w:t>owner/s of a legal person, particularly where their status is not disclosed. This is because it will be the identity of the nominee, which is disclosed in the corporate records of the legal person held by a registry and in the company records at its registered office. Company law in a number of countries does not recognise the status of a nominee director because in law it is the directors of the company who are liable for its activities and the directors have a duty to act in the best interest of the company.</w:t>
      </w:r>
    </w:p>
    <w:p w14:paraId="6DDF78D3" w14:textId="77777777" w:rsidR="0098261F" w:rsidRPr="00F53CA5" w:rsidRDefault="0098261F" w:rsidP="00F53CA5">
      <w:pPr>
        <w:pStyle w:val="Para"/>
      </w:pPr>
      <w:r w:rsidRPr="00F53CA5">
        <w:t>Supervisors and SRBs should be alert to the possibility that undisclosed nominee arrangements may exist. They should consider as part of their onsite inspections and examination of the policies, procedures and controls and client records of the TCSP whether undisclosed nominee arrangements would be identified and addressed as part of the CDD process and ongoing monitoring by the TCSP.</w:t>
      </w:r>
    </w:p>
    <w:p w14:paraId="312B2B18" w14:textId="77777777" w:rsidR="0098261F" w:rsidRDefault="0098261F" w:rsidP="00F53CA5">
      <w:pPr>
        <w:pStyle w:val="Para"/>
      </w:pPr>
      <w:r w:rsidRPr="00F53CA5">
        <w:t>An undisclosed nominee arrangement may exists where there are the following (non-exhaustive) indicator</w:t>
      </w:r>
      <w:r>
        <w:t>s:</w:t>
      </w:r>
    </w:p>
    <w:p w14:paraId="6020F5AF" w14:textId="77777777" w:rsidR="0098261F" w:rsidRPr="00DD021F" w:rsidRDefault="0098261F" w:rsidP="00533ED1">
      <w:pPr>
        <w:pStyle w:val="BulletedList"/>
        <w:numPr>
          <w:ilvl w:val="0"/>
          <w:numId w:val="158"/>
        </w:numPr>
      </w:pPr>
      <w:r w:rsidRPr="00DD021F">
        <w:t xml:space="preserve">the profile of a </w:t>
      </w:r>
      <w:r>
        <w:t xml:space="preserve">trustee, </w:t>
      </w:r>
      <w:r w:rsidRPr="00DD021F">
        <w:t xml:space="preserve">director or shareholder is inconsistent with the activities of the </w:t>
      </w:r>
      <w:r>
        <w:t xml:space="preserve">trust, </w:t>
      </w:r>
      <w:r w:rsidRPr="00DD021F">
        <w:t>company</w:t>
      </w:r>
      <w:r>
        <w:t xml:space="preserve"> or other legal entity</w:t>
      </w:r>
      <w:r w:rsidRPr="00DD021F">
        <w:t>;</w:t>
      </w:r>
    </w:p>
    <w:p w14:paraId="59653700" w14:textId="50541A1A" w:rsidR="00C97179" w:rsidRPr="00DD021F" w:rsidRDefault="00C97179" w:rsidP="00533ED1">
      <w:pPr>
        <w:pStyle w:val="BulletedList"/>
        <w:numPr>
          <w:ilvl w:val="0"/>
          <w:numId w:val="158"/>
        </w:numPr>
      </w:pPr>
      <w:r w:rsidRPr="00DD021F">
        <w:t>the individual holds a number of  appointments to unconnected</w:t>
      </w:r>
      <w:r>
        <w:t xml:space="preserve"> trusts, </w:t>
      </w:r>
      <w:r w:rsidRPr="00DD021F">
        <w:t>companies</w:t>
      </w:r>
      <w:r>
        <w:t xml:space="preserve"> or other legal entities</w:t>
      </w:r>
      <w:r w:rsidRPr="00DD021F">
        <w:t>;</w:t>
      </w:r>
    </w:p>
    <w:p w14:paraId="602109D3" w14:textId="7B0D6B27" w:rsidR="0098261F" w:rsidRPr="00DD021F" w:rsidRDefault="005E2764" w:rsidP="00533ED1">
      <w:pPr>
        <w:pStyle w:val="BulletedList"/>
        <w:numPr>
          <w:ilvl w:val="0"/>
          <w:numId w:val="158"/>
        </w:numPr>
      </w:pPr>
      <w:r>
        <w:t>a nominee’s</w:t>
      </w:r>
      <w:r w:rsidR="0098261F" w:rsidRPr="00DD021F">
        <w:t xml:space="preserve"> source of wealth is inconsistent with the value and nature of the assets within the </w:t>
      </w:r>
      <w:r w:rsidR="0098261F">
        <w:t xml:space="preserve">trust, </w:t>
      </w:r>
      <w:r w:rsidR="0098261F" w:rsidRPr="00DD021F">
        <w:t>company</w:t>
      </w:r>
      <w:r w:rsidR="0098261F">
        <w:t xml:space="preserve"> or other legal entities</w:t>
      </w:r>
      <w:r w:rsidR="0098261F" w:rsidRPr="00DD021F">
        <w:t xml:space="preserve">; </w:t>
      </w:r>
    </w:p>
    <w:p w14:paraId="6E82C009" w14:textId="77777777" w:rsidR="0098261F" w:rsidRPr="00DD021F" w:rsidRDefault="0098261F" w:rsidP="00533ED1">
      <w:pPr>
        <w:pStyle w:val="BulletedList"/>
        <w:numPr>
          <w:ilvl w:val="0"/>
          <w:numId w:val="158"/>
        </w:numPr>
      </w:pPr>
      <w:r w:rsidRPr="00DD021F">
        <w:lastRenderedPageBreak/>
        <w:t xml:space="preserve">funds into and out of </w:t>
      </w:r>
      <w:r>
        <w:t xml:space="preserve">the trust, </w:t>
      </w:r>
      <w:r w:rsidRPr="00DD021F">
        <w:t xml:space="preserve">company </w:t>
      </w:r>
      <w:r>
        <w:t xml:space="preserve">or other legal entity </w:t>
      </w:r>
      <w:r w:rsidRPr="00DD021F">
        <w:t>are sent to or received from unidentified third party/ies;</w:t>
      </w:r>
    </w:p>
    <w:p w14:paraId="290E180D" w14:textId="0808CF55" w:rsidR="0098261F" w:rsidRPr="00DD021F" w:rsidRDefault="0098261F" w:rsidP="00533ED1">
      <w:pPr>
        <w:pStyle w:val="BulletedList"/>
        <w:numPr>
          <w:ilvl w:val="0"/>
          <w:numId w:val="158"/>
        </w:numPr>
      </w:pPr>
      <w:r w:rsidRPr="00DD021F">
        <w:t xml:space="preserve">the TCSP is accustomed to acting on </w:t>
      </w:r>
      <w:r>
        <w:t xml:space="preserve">the </w:t>
      </w:r>
      <w:r w:rsidRPr="00DD021F">
        <w:t>instruction</w:t>
      </w:r>
      <w:r>
        <w:t>s</w:t>
      </w:r>
      <w:r w:rsidRPr="00DD021F">
        <w:t xml:space="preserve"> of another person who is not the </w:t>
      </w:r>
      <w:r>
        <w:t xml:space="preserve">trustee or </w:t>
      </w:r>
      <w:r w:rsidRPr="00DD021F">
        <w:t>director</w:t>
      </w:r>
      <w:r>
        <w:t xml:space="preserve"> or other natural person exercising effective control</w:t>
      </w:r>
      <w:r w:rsidRPr="00DD021F">
        <w:t>;</w:t>
      </w:r>
      <w:r w:rsidR="00494F6E">
        <w:t xml:space="preserve"> and</w:t>
      </w:r>
    </w:p>
    <w:p w14:paraId="1CBD6B17" w14:textId="233DBD6C" w:rsidR="0098261F" w:rsidRPr="00DD021F" w:rsidRDefault="0098261F" w:rsidP="00533ED1">
      <w:pPr>
        <w:pStyle w:val="BulletedList"/>
        <w:numPr>
          <w:ilvl w:val="0"/>
          <w:numId w:val="158"/>
        </w:numPr>
      </w:pPr>
      <w:r w:rsidRPr="00DD021F">
        <w:t xml:space="preserve">Requests or instructions are subject to little or no scrutiny and/or responded to extremely quickly without challenge by the individual/s purporting to act as the </w:t>
      </w:r>
      <w:r>
        <w:t xml:space="preserve">trustee, </w:t>
      </w:r>
      <w:r w:rsidRPr="00DD021F">
        <w:t>director/s</w:t>
      </w:r>
      <w:r>
        <w:t xml:space="preserve"> or other natural person exercising effective control</w:t>
      </w:r>
      <w:r w:rsidR="00494F6E">
        <w:t>.</w:t>
      </w:r>
    </w:p>
    <w:p w14:paraId="16C6CD7A" w14:textId="77777777" w:rsidR="0098261F" w:rsidRDefault="0098261F" w:rsidP="0098261F">
      <w:pPr>
        <w:tabs>
          <w:tab w:val="clear" w:pos="850"/>
          <w:tab w:val="clear" w:pos="1191"/>
          <w:tab w:val="clear" w:pos="1531"/>
        </w:tabs>
        <w:jc w:val="left"/>
      </w:pPr>
      <w:r>
        <w:br w:type="page"/>
      </w:r>
    </w:p>
    <w:p w14:paraId="1D4AC5CC" w14:textId="41614ED2" w:rsidR="0098261F" w:rsidRPr="00F53CA5" w:rsidRDefault="00626658" w:rsidP="00F53CA5">
      <w:pPr>
        <w:pStyle w:val="Heading1"/>
        <w:numPr>
          <w:ilvl w:val="0"/>
          <w:numId w:val="0"/>
        </w:numPr>
      </w:pPr>
      <w:bookmarkStart w:id="363" w:name="_Toc1994954"/>
      <w:r w:rsidRPr="00F53CA5">
        <w:lastRenderedPageBreak/>
        <w:t>ANNEX 1</w:t>
      </w:r>
      <w:r w:rsidR="001B24AA" w:rsidRPr="00F53CA5">
        <w:t xml:space="preserve">:  Beneficial ownership information </w:t>
      </w:r>
      <w:r w:rsidR="0098261F" w:rsidRPr="00F53CA5">
        <w:t>in relation to a company</w:t>
      </w:r>
      <w:r w:rsidR="005F6BF4" w:rsidRPr="00F53CA5">
        <w:t>, trust</w:t>
      </w:r>
      <w:r w:rsidR="0098261F" w:rsidRPr="00F53CA5">
        <w:t xml:space="preserve"> or other legal </w:t>
      </w:r>
      <w:r w:rsidR="005F6BF4" w:rsidRPr="00F53CA5">
        <w:t xml:space="preserve">arrangements </w:t>
      </w:r>
      <w:r w:rsidR="0098261F" w:rsidRPr="00F53CA5">
        <w:t>to whom a TCSP provides services</w:t>
      </w:r>
      <w:bookmarkEnd w:id="363"/>
    </w:p>
    <w:p w14:paraId="13C36FBA" w14:textId="06F300D5" w:rsidR="0098261F" w:rsidRPr="00F53CA5" w:rsidRDefault="0098261F" w:rsidP="004D5252">
      <w:pPr>
        <w:pStyle w:val="Para"/>
        <w:numPr>
          <w:ilvl w:val="0"/>
          <w:numId w:val="38"/>
        </w:numPr>
      </w:pPr>
      <w:r w:rsidRPr="006742CD">
        <w:t>Taking</w:t>
      </w:r>
      <w:r>
        <w:t xml:space="preserve"> a </w:t>
      </w:r>
      <w:r w:rsidR="00F405DA">
        <w:t>RBA</w:t>
      </w:r>
      <w:r>
        <w:t xml:space="preserve">, the amount of information </w:t>
      </w:r>
      <w:r w:rsidR="00F405DA">
        <w:t xml:space="preserve">that </w:t>
      </w:r>
      <w:r>
        <w:t xml:space="preserve">should be obtained by the TCSP will depend on whether the TCSP is establishing or </w:t>
      </w:r>
      <w:r w:rsidRPr="00F53CA5">
        <w:t xml:space="preserve">administering the trust, company or other legal entity or is acting as or providing a trustee or director of the trust, company or other legal entity. In </w:t>
      </w:r>
      <w:r w:rsidR="000A0FA8" w:rsidRPr="00F53CA5">
        <w:t xml:space="preserve">these </w:t>
      </w:r>
      <w:r w:rsidRPr="00F53CA5">
        <w:t>case</w:t>
      </w:r>
      <w:r w:rsidR="000A0FA8" w:rsidRPr="00F53CA5">
        <w:t>s</w:t>
      </w:r>
      <w:r w:rsidRPr="00F53CA5">
        <w:t>, a TCSP will be required to understand the general purpose behind the structure and the source of funds in the structure in addition to being able to identify the beneficial owners and controlling persons. A TCSP which is providing other services (e.g. acting as registered office) to the trust, company or other legal entity will, taking a risk based approach, be required to obtain sufficient information to enable it to be able to identify the beneficial owners and controlling persons of the trust, company or other legal entity.</w:t>
      </w:r>
    </w:p>
    <w:p w14:paraId="4BA1FD59" w14:textId="748E15A5" w:rsidR="0098261F" w:rsidRDefault="0098261F" w:rsidP="00F53CA5">
      <w:pPr>
        <w:pStyle w:val="Para"/>
      </w:pPr>
      <w:r w:rsidRPr="00F53CA5">
        <w:t xml:space="preserve">A TCSP </w:t>
      </w:r>
      <w:r w:rsidR="00F405DA" w:rsidRPr="00F53CA5">
        <w:t xml:space="preserve">that </w:t>
      </w:r>
      <w:r w:rsidRPr="00F53CA5">
        <w:t xml:space="preserve">is not acting as trustee may, in appropriate circumstances, rely on a synopsis prepared by </w:t>
      </w:r>
      <w:r w:rsidR="001F420B" w:rsidRPr="00F53CA5">
        <w:t xml:space="preserve">another TCSP, </w:t>
      </w:r>
      <w:r w:rsidRPr="00F53CA5">
        <w:t xml:space="preserve">a </w:t>
      </w:r>
      <w:r w:rsidR="00661317" w:rsidRPr="00F53CA5">
        <w:t>legal professional</w:t>
      </w:r>
      <w:r w:rsidRPr="00F53CA5">
        <w:t xml:space="preserve"> or accountant providing services to the trust or relevant extracts from the trust deed itself to enable to </w:t>
      </w:r>
      <w:r>
        <w:t>identify who is the settlor, trustees, protector (if any), beneficiaries or natural persons exercising effective control. This is in addition to the requirement, where appropriate, to obtain evidence to verify the identity of such persons as discussed below</w:t>
      </w:r>
      <w:r w:rsidR="006A6875">
        <w:t>.</w:t>
      </w:r>
    </w:p>
    <w:p w14:paraId="1547AC4B" w14:textId="77777777" w:rsidR="0098261F" w:rsidRPr="006651E9" w:rsidRDefault="0098261F" w:rsidP="0098261F">
      <w:pPr>
        <w:rPr>
          <w:i/>
        </w:rPr>
      </w:pPr>
      <w:r w:rsidRPr="006651E9">
        <w:rPr>
          <w:i/>
        </w:rPr>
        <w:t>In relation to a trust</w:t>
      </w:r>
    </w:p>
    <w:p w14:paraId="79A988E4" w14:textId="62992EBD" w:rsidR="0098261F" w:rsidRPr="006651E9" w:rsidRDefault="00A57A31" w:rsidP="00BF5699">
      <w:pPr>
        <w:pStyle w:val="Para"/>
      </w:pPr>
      <w:r w:rsidRPr="00F53CA5">
        <w:t>A</w:t>
      </w:r>
      <w:r>
        <w:t xml:space="preserve"> </w:t>
      </w:r>
      <w:r w:rsidR="0098261F" w:rsidRPr="00F53CA5">
        <w:t xml:space="preserve">TCSP should have policies and procedures in place to identify the </w:t>
      </w:r>
      <w:r w:rsidR="0098261F" w:rsidRPr="006742CD">
        <w:t>following</w:t>
      </w:r>
      <w:r w:rsidR="0098261F" w:rsidRPr="00F53CA5">
        <w:t xml:space="preserve"> and verify their identity using reliable, independent source </w:t>
      </w:r>
      <w:r w:rsidR="0098261F" w:rsidRPr="006742CD">
        <w:t>documents</w:t>
      </w:r>
      <w:r w:rsidR="0098261F" w:rsidRPr="00F53CA5">
        <w:t>, data or information (provided that the TCSP’s policies should enable it to disregard source documents, data or information which is perceived to be unreliable)</w:t>
      </w:r>
    </w:p>
    <w:p w14:paraId="77F59640" w14:textId="77777777" w:rsidR="0098261F" w:rsidRPr="00626658" w:rsidRDefault="0098261F" w:rsidP="00533ED1">
      <w:pPr>
        <w:pStyle w:val="BulletedList"/>
        <w:numPr>
          <w:ilvl w:val="2"/>
          <w:numId w:val="159"/>
        </w:numPr>
      </w:pPr>
      <w:r w:rsidRPr="00626658">
        <w:t>the settlor;</w:t>
      </w:r>
    </w:p>
    <w:p w14:paraId="2392062B" w14:textId="09E14053" w:rsidR="0098261F" w:rsidRPr="00626658" w:rsidRDefault="0098261F" w:rsidP="00533ED1">
      <w:pPr>
        <w:pStyle w:val="BulletedList"/>
        <w:numPr>
          <w:ilvl w:val="2"/>
          <w:numId w:val="159"/>
        </w:numPr>
      </w:pPr>
      <w:r w:rsidRPr="00626658">
        <w:t xml:space="preserve">the protector; </w:t>
      </w:r>
    </w:p>
    <w:p w14:paraId="33C64BE2" w14:textId="1BBD36BA" w:rsidR="00261C69" w:rsidRDefault="00261C69" w:rsidP="00533ED1">
      <w:pPr>
        <w:pStyle w:val="BulletedList"/>
        <w:numPr>
          <w:ilvl w:val="2"/>
          <w:numId w:val="159"/>
        </w:numPr>
      </w:pPr>
      <w:r>
        <w:t>the trustee(s), where the TCSP is not acting as trustee;</w:t>
      </w:r>
    </w:p>
    <w:p w14:paraId="478E2D33" w14:textId="4C6D34DA" w:rsidR="00C97179" w:rsidRDefault="0098261F" w:rsidP="00533ED1">
      <w:pPr>
        <w:pStyle w:val="BulletedList"/>
        <w:numPr>
          <w:ilvl w:val="2"/>
          <w:numId w:val="159"/>
        </w:numPr>
      </w:pPr>
      <w:r w:rsidRPr="00626658">
        <w:t>the beneficiaries or class of beneficiaries, and</w:t>
      </w:r>
    </w:p>
    <w:p w14:paraId="34036F45" w14:textId="12DE812D" w:rsidR="0098261F" w:rsidRPr="00626658" w:rsidRDefault="0098261F" w:rsidP="00533ED1">
      <w:pPr>
        <w:pStyle w:val="BulletedList"/>
        <w:numPr>
          <w:ilvl w:val="2"/>
          <w:numId w:val="159"/>
        </w:numPr>
      </w:pPr>
      <w:r w:rsidRPr="00626658">
        <w:t>any other natural person actually exercising effective control over the trust.</w:t>
      </w:r>
    </w:p>
    <w:p w14:paraId="02D08722" w14:textId="77777777" w:rsidR="0098261F" w:rsidRPr="00626658" w:rsidRDefault="0098261F" w:rsidP="00626658">
      <w:pPr>
        <w:pStyle w:val="Para0"/>
        <w:ind w:left="0"/>
        <w:rPr>
          <w:b/>
          <w:sz w:val="24"/>
          <w:szCs w:val="24"/>
        </w:rPr>
      </w:pPr>
      <w:r w:rsidRPr="00626658">
        <w:rPr>
          <w:b/>
          <w:sz w:val="24"/>
          <w:szCs w:val="24"/>
        </w:rPr>
        <w:t>Settlor</w:t>
      </w:r>
    </w:p>
    <w:p w14:paraId="14DCC765" w14:textId="57985DFF" w:rsidR="0098261F" w:rsidRPr="00626658" w:rsidRDefault="0098261F" w:rsidP="00533ED1">
      <w:pPr>
        <w:pStyle w:val="BulletedList"/>
        <w:numPr>
          <w:ilvl w:val="0"/>
          <w:numId w:val="160"/>
        </w:numPr>
      </w:pPr>
      <w:r w:rsidRPr="00626658">
        <w:t>A settlor is generally any person (or persons) by whom the trust was made. A person is a settlor if he or she has provided (or has undertaken to provide) property or funds directly or indirectly for the trust. This requires there to be an element of bounty (i.e. the settlor must be intending to provide some form of benefit rather than being an independent third party transferring something to the trust for full consideration).</w:t>
      </w:r>
    </w:p>
    <w:p w14:paraId="74DA2F54" w14:textId="7D0E5E68" w:rsidR="0098261F" w:rsidRPr="00626658" w:rsidRDefault="0098261F" w:rsidP="00533ED1">
      <w:pPr>
        <w:pStyle w:val="BulletedList"/>
        <w:numPr>
          <w:ilvl w:val="0"/>
          <w:numId w:val="160"/>
        </w:numPr>
      </w:pPr>
      <w:r w:rsidRPr="00626658">
        <w:t xml:space="preserve">A settlor may or may not be named in the trust deed. TCSPs should have policies and procedures in place to identify and verify the identity of the real economic settlor. </w:t>
      </w:r>
    </w:p>
    <w:p w14:paraId="71569EDA" w14:textId="0C27BFFF" w:rsidR="0098261F" w:rsidRPr="00626658" w:rsidRDefault="0098261F" w:rsidP="00533ED1">
      <w:pPr>
        <w:pStyle w:val="BulletedList"/>
        <w:numPr>
          <w:ilvl w:val="0"/>
          <w:numId w:val="160"/>
        </w:numPr>
      </w:pPr>
      <w:r w:rsidRPr="00626658">
        <w:t>A TCSP establishing on behalf of a client or administering a trust, company or other legal entity or otherwise acting as or providing a trustee or director of a trust</w:t>
      </w:r>
      <w:r w:rsidR="00DA2BD6">
        <w:t>ee</w:t>
      </w:r>
      <w:r w:rsidRPr="00626658">
        <w:t xml:space="preserve">, company or other legal entity should have policies and procedures in place (taking a risk based approach) to identify the source of funds in the trust, company or other legal entity. </w:t>
      </w:r>
    </w:p>
    <w:p w14:paraId="2318FC6B" w14:textId="7B3538EF" w:rsidR="0098261F" w:rsidRPr="00626658" w:rsidRDefault="00400392" w:rsidP="00533ED1">
      <w:pPr>
        <w:pStyle w:val="BulletedList"/>
        <w:numPr>
          <w:ilvl w:val="0"/>
          <w:numId w:val="160"/>
        </w:numPr>
      </w:pPr>
      <w:r>
        <w:lastRenderedPageBreak/>
        <w:t>It</w:t>
      </w:r>
      <w:r w:rsidR="0098261F" w:rsidRPr="00626658">
        <w:t xml:space="preserve"> may be more difficult (if not impossible) for older trusts</w:t>
      </w:r>
      <w:r w:rsidR="000A0FA8">
        <w:t xml:space="preserve"> to identify the source of funds</w:t>
      </w:r>
      <w:r w:rsidR="0098261F" w:rsidRPr="00626658">
        <w:t>, where contemporaneous evidence may no longer be available. Evidence of source of funds may include reliable independent source documents, data or information, share transfer forms, bank statements, deeds of gift, letter of wishes etc.</w:t>
      </w:r>
    </w:p>
    <w:p w14:paraId="10986C04" w14:textId="77777777" w:rsidR="0098261F" w:rsidRPr="00626658" w:rsidRDefault="0098261F" w:rsidP="00533ED1">
      <w:pPr>
        <w:pStyle w:val="BulletedList"/>
        <w:numPr>
          <w:ilvl w:val="0"/>
          <w:numId w:val="160"/>
        </w:numPr>
      </w:pPr>
      <w:r w:rsidRPr="00626658">
        <w:t>Where assets have been transferred to the trust from another trust, it will be necessary to obtain this information for both transferee and transferor trust.</w:t>
      </w:r>
    </w:p>
    <w:p w14:paraId="42749272" w14:textId="77777777" w:rsidR="0098261F" w:rsidRPr="00626658" w:rsidRDefault="0098261F" w:rsidP="00626658">
      <w:pPr>
        <w:pStyle w:val="Para0"/>
        <w:ind w:left="0"/>
        <w:rPr>
          <w:b/>
          <w:sz w:val="24"/>
          <w:szCs w:val="24"/>
        </w:rPr>
      </w:pPr>
      <w:r w:rsidRPr="00626658">
        <w:rPr>
          <w:b/>
          <w:sz w:val="24"/>
          <w:szCs w:val="24"/>
        </w:rPr>
        <w:t>Beneficiaries</w:t>
      </w:r>
    </w:p>
    <w:p w14:paraId="0D22F3B6" w14:textId="43D62CA0" w:rsidR="0098261F" w:rsidRPr="00626658" w:rsidRDefault="00A57A31" w:rsidP="00533ED1">
      <w:pPr>
        <w:pStyle w:val="BulletedList"/>
        <w:numPr>
          <w:ilvl w:val="0"/>
          <w:numId w:val="161"/>
        </w:numPr>
      </w:pPr>
      <w:r>
        <w:t xml:space="preserve">A </w:t>
      </w:r>
      <w:r w:rsidR="0098261F" w:rsidRPr="00626658">
        <w:t xml:space="preserve">TCSP should have policies and procedures in place, adopting a </w:t>
      </w:r>
      <w:r w:rsidR="00400392">
        <w:t>RBA</w:t>
      </w:r>
      <w:r w:rsidR="0098261F" w:rsidRPr="00626658">
        <w:t xml:space="preserve"> to enable </w:t>
      </w:r>
      <w:r>
        <w:t>it</w:t>
      </w:r>
      <w:r w:rsidRPr="00626658">
        <w:t xml:space="preserve"> </w:t>
      </w:r>
      <w:r w:rsidR="0098261F" w:rsidRPr="00626658">
        <w:t xml:space="preserve">to form a reasonable belief that </w:t>
      </w:r>
      <w:r>
        <w:t>it</w:t>
      </w:r>
      <w:r w:rsidRPr="00626658">
        <w:t xml:space="preserve"> </w:t>
      </w:r>
      <w:r w:rsidR="0098261F" w:rsidRPr="00626658">
        <w:t>know</w:t>
      </w:r>
      <w:r>
        <w:t>s</w:t>
      </w:r>
      <w:r w:rsidR="0098261F" w:rsidRPr="00626658">
        <w:t xml:space="preserve"> the true identity of the beneficiaries of the trust, and taking reasonable measures to verify the identity of the beneficiaries, such that the TCSP is satisfied that it knows who the beneficiaries are. This does not require the TCSP to verify the identity of all beneficiaries using reliable, independent source documents, data or information but the TCSP should at least verify the identity of beneficiaries who have current fixed rights to distributions of income or capital or who actually receive</w:t>
      </w:r>
      <w:r w:rsidR="00A408BA">
        <w:t xml:space="preserve"> distributions from the trust.</w:t>
      </w:r>
    </w:p>
    <w:p w14:paraId="10EC4DDC" w14:textId="7F630580" w:rsidR="0098261F" w:rsidRPr="00626658" w:rsidRDefault="00A57A31" w:rsidP="00533ED1">
      <w:pPr>
        <w:pStyle w:val="BulletedList"/>
        <w:numPr>
          <w:ilvl w:val="0"/>
          <w:numId w:val="161"/>
        </w:numPr>
      </w:pPr>
      <w:r>
        <w:t xml:space="preserve">A </w:t>
      </w:r>
      <w:r w:rsidR="0098261F" w:rsidRPr="00626658">
        <w:t>TCSP should obtain sufficient information to enable them to identify beneficiaries who have fixed rights or fixed interests over income or capital of the trust (e.g. a life tenant).</w:t>
      </w:r>
    </w:p>
    <w:p w14:paraId="5473A200" w14:textId="490A0C0F" w:rsidR="0098261F" w:rsidRPr="00626658" w:rsidRDefault="0098261F" w:rsidP="00533ED1">
      <w:pPr>
        <w:pStyle w:val="BulletedList"/>
        <w:numPr>
          <w:ilvl w:val="0"/>
          <w:numId w:val="161"/>
        </w:numPr>
      </w:pPr>
      <w:r w:rsidRPr="00626658">
        <w:t>Where the beneficiaries of the trust have no fixed rights to capital and income (e.g. discretionary beneficiaries), TCSPs should obtain information to enable them to identify the named discretionary beneficiaries (e.g. as identi</w:t>
      </w:r>
      <w:r w:rsidR="00A408BA">
        <w:t>fied in the trust deed).</w:t>
      </w:r>
    </w:p>
    <w:p w14:paraId="731AB2DD" w14:textId="0A7ABD16" w:rsidR="0098261F" w:rsidRPr="00626658" w:rsidRDefault="0098261F" w:rsidP="00533ED1">
      <w:pPr>
        <w:pStyle w:val="BulletedList"/>
        <w:numPr>
          <w:ilvl w:val="0"/>
          <w:numId w:val="161"/>
        </w:numPr>
      </w:pPr>
      <w:r w:rsidRPr="00626658">
        <w:t xml:space="preserve">Where beneficiaries are identified by reference to a class (e.g. children and issue of X) or where beneficiaries are minors under the law governing the trust, although TCSPs should satisfy themselves that these are the intended beneficiaries (e.g. by reference to the trust deed) they are not obliged to obtain additional information to </w:t>
      </w:r>
      <w:r w:rsidR="001F420B">
        <w:t xml:space="preserve">verify the </w:t>
      </w:r>
      <w:r w:rsidR="001F420B" w:rsidRPr="00626658">
        <w:t>identi</w:t>
      </w:r>
      <w:r w:rsidR="001F420B">
        <w:t>t</w:t>
      </w:r>
      <w:r w:rsidR="001F420B" w:rsidRPr="00626658">
        <w:t>y</w:t>
      </w:r>
      <w:r w:rsidR="001F420B">
        <w:t xml:space="preserve"> of</w:t>
      </w:r>
      <w:r w:rsidR="001F420B" w:rsidRPr="00626658">
        <w:t xml:space="preserve"> the individual beneficiaries referred to in the class unless or until the trustees </w:t>
      </w:r>
      <w:r w:rsidR="001F420B">
        <w:t xml:space="preserve">determine to </w:t>
      </w:r>
      <w:r w:rsidR="001F420B" w:rsidRPr="00626658">
        <w:t>make a distribution to such beneficiary.</w:t>
      </w:r>
    </w:p>
    <w:p w14:paraId="624CB275" w14:textId="1A041290" w:rsidR="0098261F" w:rsidRPr="00626658" w:rsidRDefault="0098261F" w:rsidP="00533ED1">
      <w:pPr>
        <w:pStyle w:val="BulletedList"/>
        <w:numPr>
          <w:ilvl w:val="0"/>
          <w:numId w:val="161"/>
        </w:numPr>
      </w:pPr>
      <w:r w:rsidRPr="00626658">
        <w:t xml:space="preserve">In some trusts, named individuals only become beneficiaries on the happening of a particular contingency (e.g. on attaining a specific age or on the death of another beneficiary or the termination of the trust period). In this case, TCSPs are not required to obtain additional information to </w:t>
      </w:r>
      <w:r w:rsidR="001F420B">
        <w:t xml:space="preserve">verify the identity of </w:t>
      </w:r>
      <w:r w:rsidR="001F420B" w:rsidRPr="00626658">
        <w:t xml:space="preserve">such contingent beneficiaries unless or until the contingency is satisfied or until the trustees </w:t>
      </w:r>
      <w:r w:rsidR="001F420B">
        <w:t xml:space="preserve">decide to </w:t>
      </w:r>
      <w:r w:rsidR="001F420B" w:rsidRPr="00626658">
        <w:t xml:space="preserve">make a distribution to such </w:t>
      </w:r>
      <w:r w:rsidR="001F420B">
        <w:t xml:space="preserve">a </w:t>
      </w:r>
      <w:r w:rsidR="001F420B" w:rsidRPr="00626658">
        <w:t>beneficiary.</w:t>
      </w:r>
    </w:p>
    <w:p w14:paraId="33671B2E" w14:textId="487FA3C4" w:rsidR="0098261F" w:rsidRPr="00626658" w:rsidRDefault="0098261F" w:rsidP="00533ED1">
      <w:pPr>
        <w:pStyle w:val="BulletedList"/>
        <w:numPr>
          <w:ilvl w:val="0"/>
          <w:numId w:val="161"/>
        </w:numPr>
      </w:pPr>
      <w:r w:rsidRPr="00626658">
        <w:t>TCSPs who administer the trust or company or other legal entity owned by a trust or otherwise provide or act as trustee or director to the trust</w:t>
      </w:r>
      <w:r w:rsidR="00DA2BD6">
        <w:t>ee</w:t>
      </w:r>
      <w:r w:rsidRPr="00626658">
        <w:t>, company or other legal entity should have procedures in place so that there is a requirement to update the information provided if named beneficiaries are added or removed from the class of beneficiaries, or beneficiaries receive distributions or benefits for the first time after the information has been provided, or there are other changes to the class of beneficiaries.</w:t>
      </w:r>
    </w:p>
    <w:p w14:paraId="158A8409" w14:textId="77777777" w:rsidR="0098261F" w:rsidRPr="00626658" w:rsidRDefault="0098261F" w:rsidP="00533ED1">
      <w:pPr>
        <w:pStyle w:val="BulletedList"/>
        <w:numPr>
          <w:ilvl w:val="0"/>
          <w:numId w:val="161"/>
        </w:numPr>
      </w:pPr>
      <w:r w:rsidRPr="00626658">
        <w:t xml:space="preserve">TCSPs are not obliged to obtain other information about beneficiaries other than to enable the TCSP to satisfy itself that it knows who the beneficiaries are or identify whether any named beneficiary or beneficiary who has received a distribution from a trust is a PEP. </w:t>
      </w:r>
    </w:p>
    <w:p w14:paraId="7DF81C51" w14:textId="77777777" w:rsidR="0098261F" w:rsidRPr="00DE6949" w:rsidRDefault="0098261F" w:rsidP="00626658">
      <w:pPr>
        <w:pStyle w:val="Para0"/>
        <w:ind w:left="0"/>
        <w:rPr>
          <w:b/>
          <w:sz w:val="24"/>
        </w:rPr>
      </w:pPr>
      <w:r w:rsidRPr="00DE6949">
        <w:rPr>
          <w:b/>
          <w:sz w:val="24"/>
        </w:rPr>
        <w:lastRenderedPageBreak/>
        <w:t xml:space="preserve">Natural person exercising effective control  </w:t>
      </w:r>
    </w:p>
    <w:p w14:paraId="32634178" w14:textId="14D70088" w:rsidR="0098261F" w:rsidRPr="00DE6949" w:rsidRDefault="00A57A31" w:rsidP="00533ED1">
      <w:pPr>
        <w:pStyle w:val="BulletedList"/>
        <w:numPr>
          <w:ilvl w:val="0"/>
          <w:numId w:val="162"/>
        </w:numPr>
        <w:spacing w:line="228" w:lineRule="auto"/>
      </w:pPr>
      <w:r>
        <w:t xml:space="preserve">A </w:t>
      </w:r>
      <w:r w:rsidR="0098261F" w:rsidRPr="00DE6949">
        <w:t>TCSP</w:t>
      </w:r>
      <w:r>
        <w:t xml:space="preserve"> </w:t>
      </w:r>
      <w:r w:rsidR="0098261F" w:rsidRPr="00DE6949">
        <w:t>providing services to the trust should have procedures in place to identify any natural person exercising effective control over the trust.</w:t>
      </w:r>
    </w:p>
    <w:p w14:paraId="24D35DC1" w14:textId="2F7BD610" w:rsidR="0098261F" w:rsidRPr="00DE6949" w:rsidRDefault="0098261F" w:rsidP="00533ED1">
      <w:pPr>
        <w:pStyle w:val="BulletedList"/>
        <w:numPr>
          <w:ilvl w:val="0"/>
          <w:numId w:val="162"/>
        </w:numPr>
        <w:spacing w:line="228" w:lineRule="auto"/>
      </w:pPr>
      <w:r w:rsidRPr="00DE6949">
        <w:t>For these purposes "control" means a power (whether exercisable alone or jointly with another person or with the consent of another person) under the trust instrument or by law to:</w:t>
      </w:r>
    </w:p>
    <w:p w14:paraId="5BC081B0" w14:textId="77777777" w:rsidR="0098261F" w:rsidRPr="00DE6949" w:rsidRDefault="0098261F" w:rsidP="00533ED1">
      <w:pPr>
        <w:pStyle w:val="BulletedList"/>
        <w:numPr>
          <w:ilvl w:val="2"/>
          <w:numId w:val="163"/>
        </w:numPr>
        <w:spacing w:line="228" w:lineRule="auto"/>
      </w:pPr>
      <w:r w:rsidRPr="00DE6949">
        <w:t>dispose of, advance, lend, invest, pay or apply trust property;</w:t>
      </w:r>
    </w:p>
    <w:p w14:paraId="033C2F35" w14:textId="31772215" w:rsidR="0098261F" w:rsidRPr="00DE6949" w:rsidRDefault="001F420B" w:rsidP="00533ED1">
      <w:pPr>
        <w:pStyle w:val="BulletedList"/>
        <w:numPr>
          <w:ilvl w:val="2"/>
          <w:numId w:val="163"/>
        </w:numPr>
        <w:spacing w:line="228" w:lineRule="auto"/>
      </w:pPr>
      <w:r>
        <w:t xml:space="preserve">direct, </w:t>
      </w:r>
      <w:r w:rsidR="0098261F" w:rsidRPr="00DE6949">
        <w:t>make or approve trust distributions;</w:t>
      </w:r>
    </w:p>
    <w:p w14:paraId="36EBB7CE" w14:textId="77777777" w:rsidR="0098261F" w:rsidRPr="00DE6949" w:rsidRDefault="0098261F" w:rsidP="00533ED1">
      <w:pPr>
        <w:pStyle w:val="BulletedList"/>
        <w:numPr>
          <w:ilvl w:val="2"/>
          <w:numId w:val="163"/>
        </w:numPr>
        <w:spacing w:line="228" w:lineRule="auto"/>
      </w:pPr>
      <w:r w:rsidRPr="00DE6949">
        <w:t>vary or terminate the trust;</w:t>
      </w:r>
    </w:p>
    <w:p w14:paraId="0BF7327B" w14:textId="77777777" w:rsidR="0098261F" w:rsidRPr="00DE6949" w:rsidRDefault="0098261F" w:rsidP="00533ED1">
      <w:pPr>
        <w:pStyle w:val="BulletedList"/>
        <w:numPr>
          <w:ilvl w:val="2"/>
          <w:numId w:val="163"/>
        </w:numPr>
        <w:spacing w:line="228" w:lineRule="auto"/>
      </w:pPr>
      <w:r w:rsidRPr="00DE6949">
        <w:t>add or remove a person as a beneficiary or to or from a class of beneficiaries and or;</w:t>
      </w:r>
    </w:p>
    <w:p w14:paraId="25585E98" w14:textId="77777777" w:rsidR="0098261F" w:rsidRPr="00DE6949" w:rsidRDefault="0098261F" w:rsidP="00533ED1">
      <w:pPr>
        <w:pStyle w:val="BulletedList"/>
        <w:numPr>
          <w:ilvl w:val="2"/>
          <w:numId w:val="163"/>
        </w:numPr>
        <w:spacing w:line="228" w:lineRule="auto"/>
      </w:pPr>
      <w:r w:rsidRPr="00DE6949">
        <w:t xml:space="preserve">appoint or remove trustees. </w:t>
      </w:r>
    </w:p>
    <w:p w14:paraId="4A31B2C0" w14:textId="17D30A50" w:rsidR="0001454A" w:rsidRDefault="0098261F" w:rsidP="00533ED1">
      <w:pPr>
        <w:pStyle w:val="BulletedList"/>
        <w:numPr>
          <w:ilvl w:val="0"/>
          <w:numId w:val="162"/>
        </w:numPr>
        <w:spacing w:line="228" w:lineRule="auto"/>
      </w:pPr>
      <w:r w:rsidRPr="00DE6949">
        <w:t>TCSPs who administer the trust or otherwise act as trustee must, in addition, also obtain information to satisfy itself that it knows the identity of any other individual who has power to give another individual “control” over the trust; by conferring on such individual powers as described in paragraph (b) above.</w:t>
      </w:r>
    </w:p>
    <w:p w14:paraId="6FA35F2A" w14:textId="77777777" w:rsidR="0098261F" w:rsidRPr="00321AD3" w:rsidRDefault="0098261F" w:rsidP="001E654F">
      <w:pPr>
        <w:tabs>
          <w:tab w:val="clear" w:pos="850"/>
          <w:tab w:val="clear" w:pos="1191"/>
          <w:tab w:val="clear" w:pos="1531"/>
        </w:tabs>
        <w:jc w:val="left"/>
        <w:rPr>
          <w:b/>
          <w:sz w:val="24"/>
          <w:szCs w:val="24"/>
        </w:rPr>
      </w:pPr>
      <w:r w:rsidRPr="00321AD3">
        <w:rPr>
          <w:b/>
          <w:sz w:val="24"/>
          <w:szCs w:val="24"/>
        </w:rPr>
        <w:t>Corporate settlors and beneficiaries</w:t>
      </w:r>
    </w:p>
    <w:p w14:paraId="6986D247" w14:textId="77777777" w:rsidR="0098261F" w:rsidRDefault="0098261F" w:rsidP="00BF5699">
      <w:pPr>
        <w:pStyle w:val="Para"/>
        <w:spacing w:line="228" w:lineRule="auto"/>
      </w:pPr>
      <w:r>
        <w:t xml:space="preserve">These examples are subject to the more general guidance on what information should be obtained by the TCSP to </w:t>
      </w:r>
      <w:r w:rsidRPr="005218ED">
        <w:t>enable</w:t>
      </w:r>
      <w:r>
        <w:t xml:space="preserve"> it to identify settlors and beneficiaries. It is not intended to suggest that a TCSP must obtain more information about a beneficiary which is an entity where it would not need to obtain such information if the beneficiary is an individual.</w:t>
      </w:r>
    </w:p>
    <w:p w14:paraId="743DF017" w14:textId="77777777" w:rsidR="0098261F" w:rsidRPr="00DE6949" w:rsidRDefault="0098261F" w:rsidP="00533ED1">
      <w:pPr>
        <w:pStyle w:val="BulletedList"/>
        <w:numPr>
          <w:ilvl w:val="0"/>
          <w:numId w:val="164"/>
        </w:numPr>
        <w:spacing w:line="228" w:lineRule="auto"/>
      </w:pPr>
      <w:r w:rsidRPr="00DE6949">
        <w:t>In certain cases, the settlor, beneficiary, protector or other person exercising effective control over the trust may be a company or other legal entity. In such a case, the TCSP should have policies and procedures in place to enable them to identify (where appropriate) the beneficial owner or controlling person in relation to the entity.</w:t>
      </w:r>
    </w:p>
    <w:p w14:paraId="07309DB1" w14:textId="782B6DD2" w:rsidR="0098261F" w:rsidRPr="00DE6949" w:rsidRDefault="0098261F" w:rsidP="00533ED1">
      <w:pPr>
        <w:pStyle w:val="BulletedList"/>
        <w:numPr>
          <w:ilvl w:val="0"/>
          <w:numId w:val="164"/>
        </w:numPr>
        <w:spacing w:line="228" w:lineRule="auto"/>
      </w:pPr>
      <w:r w:rsidRPr="00DE6949">
        <w:t xml:space="preserve">In the case of a settlor which is a legal entity, the TCSP should satisfy itself that it has sufficient information to understand the purpose behind the formation of the trust by the entity. For example, a company may establish a trust for the benefit of its employees or a legal entity may act as nominee for an individual settlor or on the instructions of an individual who has provided funds to the legal entity for this purpose. In the case of a legal entity acting as nominee for an individual settlor or on the instructions of an individual, the TCSP should take steps to satisfy itself as to the </w:t>
      </w:r>
      <w:r w:rsidR="001F420B">
        <w:t xml:space="preserve">identity of the </w:t>
      </w:r>
      <w:r w:rsidRPr="00DE6949">
        <w:t xml:space="preserve">economic settlor of the trust (i.e. the person who has provided funds to the legal entity to enable it to settle funds into the trust) and the controlling persons in relation to the legal entity at the time the assets were settled into trust. If the corporate settlor retains powers over the trust (e.g. a power of revocation), the TCSP should satisfy itself that it knows the current beneficial owners and controlling persons of the corporate settlor and understands the reason for the change in ownership or control. </w:t>
      </w:r>
    </w:p>
    <w:p w14:paraId="6F1E422D" w14:textId="75C381BD" w:rsidR="0098261F" w:rsidRDefault="0098261F" w:rsidP="00533ED1">
      <w:pPr>
        <w:pStyle w:val="BulletedList"/>
        <w:numPr>
          <w:ilvl w:val="0"/>
          <w:numId w:val="164"/>
        </w:numPr>
        <w:spacing w:line="228" w:lineRule="auto"/>
      </w:pPr>
      <w:r w:rsidRPr="00DE6949">
        <w:t>In the case of a beneficiary which is an entity (e.g. a charitable trust or company), the TCSP should satisfy itself that it understands the reason behind the use of an entity as a beneficiary. If there is an individual beneficial owner of the entity, the TCSP should satisfy itself that it has sufficient information to identify the individual beneficial owner</w:t>
      </w:r>
      <w:r w:rsidR="00A408BA">
        <w:t>.</w:t>
      </w:r>
    </w:p>
    <w:p w14:paraId="76DD9EFF" w14:textId="17C1E88C" w:rsidR="0098261F" w:rsidRPr="00DE6949" w:rsidRDefault="00E73CCA" w:rsidP="00DE6949">
      <w:pPr>
        <w:pStyle w:val="Para0"/>
        <w:ind w:left="0"/>
        <w:rPr>
          <w:b/>
          <w:sz w:val="24"/>
        </w:rPr>
      </w:pPr>
      <w:r>
        <w:rPr>
          <w:b/>
          <w:sz w:val="24"/>
        </w:rPr>
        <w:lastRenderedPageBreak/>
        <w:t xml:space="preserve">Individual and </w:t>
      </w:r>
      <w:r w:rsidR="0098261F" w:rsidRPr="00DE6949">
        <w:rPr>
          <w:b/>
          <w:sz w:val="24"/>
        </w:rPr>
        <w:t>Corporate trustee</w:t>
      </w:r>
    </w:p>
    <w:p w14:paraId="2F299725" w14:textId="0E000441" w:rsidR="0098261F" w:rsidRPr="00DE6949" w:rsidRDefault="0098261F" w:rsidP="00533ED1">
      <w:pPr>
        <w:pStyle w:val="BulletedList"/>
        <w:numPr>
          <w:ilvl w:val="0"/>
          <w:numId w:val="165"/>
        </w:numPr>
      </w:pPr>
      <w:r w:rsidRPr="00DE6949">
        <w:t xml:space="preserve">Where a TCSP is not itself acting as trustee, it is necessary for the TCSP to obtain information to enable it to </w:t>
      </w:r>
      <w:r w:rsidR="001F420B" w:rsidRPr="00DE6949">
        <w:t xml:space="preserve">identify </w:t>
      </w:r>
      <w:r w:rsidR="001F420B">
        <w:t xml:space="preserve">and verify </w:t>
      </w:r>
      <w:r w:rsidR="001F420B" w:rsidRPr="00DE6949">
        <w:t xml:space="preserve">the </w:t>
      </w:r>
      <w:r w:rsidR="001F420B">
        <w:t>identity of the trustee</w:t>
      </w:r>
      <w:r w:rsidR="009B54A6">
        <w:t>(s)</w:t>
      </w:r>
      <w:r w:rsidR="001F420B">
        <w:t xml:space="preserve"> </w:t>
      </w:r>
      <w:r w:rsidR="001F420B" w:rsidRPr="00DE6949">
        <w:t xml:space="preserve">and, where </w:t>
      </w:r>
      <w:r w:rsidR="001F420B">
        <w:t>the trustee is a corporate trustee</w:t>
      </w:r>
      <w:r w:rsidR="001F420B" w:rsidRPr="00DE6949">
        <w:t>,</w:t>
      </w:r>
      <w:r w:rsidR="001F420B">
        <w:t xml:space="preserve"> identify the corporate, obtain information on the identity of</w:t>
      </w:r>
      <w:r w:rsidR="001F420B" w:rsidRPr="00DE6949">
        <w:t xml:space="preserve"> the beneficial owners of the trustee</w:t>
      </w:r>
      <w:r w:rsidR="001F420B">
        <w:t>, and take reasonable measure to verify their identity.</w:t>
      </w:r>
    </w:p>
    <w:p w14:paraId="69983FAE" w14:textId="68552020" w:rsidR="0098261F" w:rsidRPr="00DE6949" w:rsidRDefault="0098261F" w:rsidP="00533ED1">
      <w:pPr>
        <w:pStyle w:val="BulletedList"/>
        <w:numPr>
          <w:ilvl w:val="0"/>
          <w:numId w:val="165"/>
        </w:numPr>
      </w:pPr>
      <w:r w:rsidRPr="00DE6949">
        <w:t xml:space="preserve">Where the trustee is a listed entity (or an entity forming part of a listed group) or an entity established and regulated to carry on trust business in a jurisdiction identified by credible sources as having appropriate AML/CFT laws, regulations and other measures, the TCSP should obtain information to enable it to satisfy itself as to the identity of the directors or other controlling persons. </w:t>
      </w:r>
      <w:r w:rsidR="00A57A31">
        <w:t>A</w:t>
      </w:r>
      <w:r w:rsidR="00A57A31" w:rsidRPr="00DE6949">
        <w:t xml:space="preserve"> </w:t>
      </w:r>
      <w:r w:rsidRPr="00DE6949">
        <w:t>TCSP can rely on external evidence, such as information in the public domain, to satisfy itself as to the beneficial owner of the regulated trustee (e.g. the web-site of the body which regulates the trustee and of the regulated trustee itself).</w:t>
      </w:r>
    </w:p>
    <w:p w14:paraId="622DF2FF" w14:textId="36304D3A" w:rsidR="0098261F" w:rsidRPr="001E654F" w:rsidRDefault="0098261F" w:rsidP="00533ED1">
      <w:pPr>
        <w:pStyle w:val="BulletedList"/>
        <w:numPr>
          <w:ilvl w:val="0"/>
          <w:numId w:val="165"/>
        </w:numPr>
      </w:pPr>
      <w:r w:rsidRPr="00DE6949">
        <w:t>It is not uncommon for families to set up trust companies to act for trusts for the benefit of that family. These are typically called private trust companies and may have a restricted trust licence which enables them to act as trustee for a limited class of trusts. Such private trust companies are often ultimately owned by a fully regulated trust company as trustee of another trust. In such a case, the TCSP should satisfy itself that it understands how the private trust company operates and the identity of the directors of the private trust company and, where relevant, the owner of the private trust company. Where the private trust company is itself owned by a listed or regulated entity as described above, the TCSP does not need to obtain detailed information to identify the directors or controlling persons of that entity which acts as shareholder of the private trust company</w:t>
      </w:r>
      <w:r>
        <w:t xml:space="preserve">. </w:t>
      </w:r>
    </w:p>
    <w:p w14:paraId="1158DE48" w14:textId="0BC36EB8" w:rsidR="0098261F" w:rsidRPr="00DE6949" w:rsidRDefault="001F420B" w:rsidP="00DE6949">
      <w:pPr>
        <w:pStyle w:val="Para0"/>
        <w:ind w:left="0"/>
        <w:rPr>
          <w:b/>
          <w:sz w:val="24"/>
          <w:szCs w:val="24"/>
        </w:rPr>
      </w:pPr>
      <w:r>
        <w:rPr>
          <w:b/>
          <w:sz w:val="24"/>
          <w:szCs w:val="24"/>
        </w:rPr>
        <w:t xml:space="preserve">Individual and </w:t>
      </w:r>
      <w:r w:rsidR="0098261F" w:rsidRPr="00DE6949">
        <w:rPr>
          <w:b/>
          <w:sz w:val="24"/>
          <w:szCs w:val="24"/>
        </w:rPr>
        <w:t>Corporate protector - key to identify</w:t>
      </w:r>
    </w:p>
    <w:p w14:paraId="5E1C591A" w14:textId="4D273178" w:rsidR="004C6325" w:rsidRPr="00DE6949" w:rsidRDefault="004C6325" w:rsidP="00533ED1">
      <w:pPr>
        <w:pStyle w:val="BulletedList"/>
        <w:numPr>
          <w:ilvl w:val="0"/>
          <w:numId w:val="166"/>
        </w:numPr>
      </w:pPr>
      <w:r w:rsidRPr="00DE6949">
        <w:t xml:space="preserve">Where </w:t>
      </w:r>
      <w:r>
        <w:t xml:space="preserve">a TCSP </w:t>
      </w:r>
      <w:r w:rsidRPr="00DE6949">
        <w:t>is not itself acting</w:t>
      </w:r>
      <w:r>
        <w:t xml:space="preserve"> as a protector and a protector has been appointed</w:t>
      </w:r>
      <w:r w:rsidRPr="00DE6949">
        <w:t xml:space="preserve">, it is necessary for </w:t>
      </w:r>
      <w:r>
        <w:t xml:space="preserve">the TCSP </w:t>
      </w:r>
      <w:r w:rsidRPr="00DE6949">
        <w:t xml:space="preserve">to obtain information to enable it to identify </w:t>
      </w:r>
      <w:r>
        <w:t xml:space="preserve">and verify </w:t>
      </w:r>
      <w:r w:rsidRPr="00DE6949">
        <w:t xml:space="preserve">the </w:t>
      </w:r>
      <w:r>
        <w:t xml:space="preserve">identity of the protector </w:t>
      </w:r>
    </w:p>
    <w:p w14:paraId="19543B63" w14:textId="6E7A4DAE" w:rsidR="0098261F" w:rsidRPr="00DE6949" w:rsidRDefault="0098261F" w:rsidP="00533ED1">
      <w:pPr>
        <w:pStyle w:val="BulletedList"/>
        <w:numPr>
          <w:ilvl w:val="0"/>
          <w:numId w:val="166"/>
        </w:numPr>
      </w:pPr>
      <w:r w:rsidRPr="00DE6949">
        <w:t>Where the protector is a legal entity, the TCSP should obtain sufficient information that it can satisfy itself who is the controlling person and beneficial owner of the protector</w:t>
      </w:r>
      <w:r w:rsidR="001F420B">
        <w:t>, and take reasonable measure to verify their identity</w:t>
      </w:r>
      <w:r w:rsidRPr="00DE6949">
        <w:t>.</w:t>
      </w:r>
    </w:p>
    <w:p w14:paraId="4F770687" w14:textId="31AFE072" w:rsidR="0098261F" w:rsidRPr="00DE6949" w:rsidRDefault="0098261F" w:rsidP="00533ED1">
      <w:pPr>
        <w:pStyle w:val="BulletedList"/>
        <w:numPr>
          <w:ilvl w:val="0"/>
          <w:numId w:val="166"/>
        </w:numPr>
      </w:pPr>
      <w:r w:rsidRPr="00DE6949">
        <w:t xml:space="preserve">Where the protector is a listed entity (or an entity forming part of a listed group) or an entity established and regulated to carry on trust business in a jurisdiction identified by credible sources as having appropriate AML/CFT laws, regulations and other measures, the TCSP should obtain information to enable it to satisfy itself as to the identity of the directors or other controlling persons. </w:t>
      </w:r>
      <w:r w:rsidR="00E7474E">
        <w:t>A</w:t>
      </w:r>
      <w:r w:rsidR="00E7474E" w:rsidRPr="00DE6949">
        <w:t xml:space="preserve"> </w:t>
      </w:r>
      <w:r w:rsidRPr="00DE6949">
        <w:t xml:space="preserve">TCSP can rely on external evidence, such as information in the public domain to satisfy itself as to the beneficial owner of the regulated protector (e.g. the web-site of the body </w:t>
      </w:r>
      <w:r w:rsidR="00861B05">
        <w:t>that</w:t>
      </w:r>
      <w:r w:rsidR="00861B05" w:rsidRPr="00DE6949">
        <w:t xml:space="preserve"> </w:t>
      </w:r>
      <w:r w:rsidRPr="00DE6949">
        <w:t>regulates the protector and of the regulated protector itself).</w:t>
      </w:r>
    </w:p>
    <w:p w14:paraId="24424069" w14:textId="77777777" w:rsidR="0098261F" w:rsidRDefault="0098261F" w:rsidP="0098261F">
      <w:pPr>
        <w:tabs>
          <w:tab w:val="clear" w:pos="850"/>
          <w:tab w:val="clear" w:pos="1191"/>
          <w:tab w:val="clear" w:pos="1531"/>
        </w:tabs>
        <w:jc w:val="left"/>
        <w:rPr>
          <w:rFonts w:eastAsia="SimSun"/>
        </w:rPr>
      </w:pPr>
      <w:r>
        <w:br w:type="page"/>
      </w:r>
    </w:p>
    <w:p w14:paraId="52C643ED" w14:textId="2C3F493E" w:rsidR="0098261F" w:rsidRPr="005218ED" w:rsidRDefault="0098261F" w:rsidP="005218ED">
      <w:pPr>
        <w:pStyle w:val="Heading1"/>
        <w:numPr>
          <w:ilvl w:val="0"/>
          <w:numId w:val="0"/>
        </w:numPr>
      </w:pPr>
      <w:bookmarkStart w:id="364" w:name="_Toc525561758"/>
      <w:bookmarkStart w:id="365" w:name="_Toc525562452"/>
      <w:bookmarkStart w:id="366" w:name="_Toc1994955"/>
      <w:r w:rsidRPr="005218ED">
        <w:lastRenderedPageBreak/>
        <w:t>ANNEX 2</w:t>
      </w:r>
      <w:bookmarkEnd w:id="364"/>
      <w:bookmarkEnd w:id="365"/>
      <w:r w:rsidR="00C61469" w:rsidRPr="005218ED">
        <w:t xml:space="preserve">: </w:t>
      </w:r>
      <w:r w:rsidR="006D010A" w:rsidRPr="005218ED">
        <w:t>Glossary of terminology</w:t>
      </w:r>
      <w:bookmarkEnd w:id="366"/>
    </w:p>
    <w:p w14:paraId="05DA1408" w14:textId="77777777" w:rsidR="0098261F" w:rsidRPr="005218ED" w:rsidRDefault="0098261F" w:rsidP="005218ED">
      <w:pPr>
        <w:pStyle w:val="Para0"/>
        <w:ind w:left="0"/>
        <w:rPr>
          <w:b/>
          <w:sz w:val="24"/>
        </w:rPr>
      </w:pPr>
      <w:r w:rsidRPr="005218ED">
        <w:rPr>
          <w:b/>
          <w:sz w:val="24"/>
        </w:rPr>
        <w:t>Beneficial Owner</w:t>
      </w:r>
    </w:p>
    <w:p w14:paraId="06606B39" w14:textId="77777777" w:rsidR="0098261F" w:rsidRDefault="0098261F" w:rsidP="005218ED">
      <w:pPr>
        <w:pStyle w:val="Para0"/>
      </w:pPr>
      <w:r w:rsidRPr="00603260">
        <w:rPr>
          <w:i/>
        </w:rPr>
        <w:t>Beneficial owner</w:t>
      </w:r>
      <w:r>
        <w:t xml:space="preserve"> refers to the natural person(s) who ultimately owns or controls a customer and/or the natural person on whose behalf a transaction is being conducted. It also includes those persons who exercise ultimate effective control over a legal person or arrangement.</w:t>
      </w:r>
    </w:p>
    <w:p w14:paraId="1EBDE53B" w14:textId="6CB71936" w:rsidR="0098261F" w:rsidRPr="005218ED" w:rsidRDefault="0098261F" w:rsidP="005218ED">
      <w:pPr>
        <w:pStyle w:val="Para0"/>
        <w:ind w:left="0"/>
        <w:rPr>
          <w:b/>
          <w:sz w:val="24"/>
        </w:rPr>
      </w:pPr>
      <w:r w:rsidRPr="005218ED">
        <w:rPr>
          <w:b/>
          <w:sz w:val="24"/>
        </w:rPr>
        <w:t xml:space="preserve">Competent </w:t>
      </w:r>
      <w:r w:rsidR="0098516E">
        <w:rPr>
          <w:b/>
          <w:sz w:val="24"/>
        </w:rPr>
        <w:t>A</w:t>
      </w:r>
      <w:r w:rsidRPr="005218ED">
        <w:rPr>
          <w:b/>
          <w:sz w:val="24"/>
        </w:rPr>
        <w:t xml:space="preserve">uthorities </w:t>
      </w:r>
    </w:p>
    <w:p w14:paraId="57DEC654" w14:textId="3A880E46" w:rsidR="0098261F" w:rsidRDefault="0098261F" w:rsidP="005218ED">
      <w:pPr>
        <w:pStyle w:val="Para0"/>
      </w:pPr>
      <w:r w:rsidRPr="00603260">
        <w:rPr>
          <w:i/>
        </w:rPr>
        <w:t>Competent authorities</w:t>
      </w:r>
      <w:r>
        <w:t xml:space="preserve"> refers to all public authorities with designated responsibilities for combating money laundering and/or terrorist financing. In particular, this includes the FIU; the authorities that have the function of investigating and/or prosecuting money laundering, associated predicate offences and terrorist financing, and seizing/freezing and confiscating criminal assets; authorities receiving reports on cross-border transportation of currency &amp; BNIs; and authorities that have AML/CFT supervisory or monitoring responsibilities aimed at ensuring compliance by financial institutions and DNFBPs with AML/CFT requirements. SRBs are not to be regarded as a competent authorities.</w:t>
      </w:r>
    </w:p>
    <w:p w14:paraId="6B968924" w14:textId="77777777" w:rsidR="0098261F" w:rsidRPr="005218ED" w:rsidRDefault="0098261F" w:rsidP="005218ED">
      <w:pPr>
        <w:pStyle w:val="Para0"/>
        <w:ind w:left="0"/>
        <w:rPr>
          <w:b/>
          <w:bCs/>
          <w:sz w:val="24"/>
        </w:rPr>
      </w:pPr>
      <w:r w:rsidRPr="005218ED">
        <w:rPr>
          <w:b/>
          <w:bCs/>
          <w:sz w:val="24"/>
        </w:rPr>
        <w:t>Designated Non-Financial Businesses and Professions (DNFBPs)</w:t>
      </w:r>
    </w:p>
    <w:p w14:paraId="7B88C706" w14:textId="77777777" w:rsidR="0098261F" w:rsidRPr="005218ED" w:rsidRDefault="0098261F" w:rsidP="005218ED">
      <w:pPr>
        <w:pStyle w:val="Para0"/>
        <w:rPr>
          <w:i/>
        </w:rPr>
      </w:pPr>
      <w:r w:rsidRPr="005218ED">
        <w:rPr>
          <w:i/>
        </w:rPr>
        <w:t>Designated non-financial businesses and professions means:</w:t>
      </w:r>
    </w:p>
    <w:p w14:paraId="7381186A" w14:textId="44D490E5" w:rsidR="0098261F" w:rsidRDefault="0098261F" w:rsidP="00533ED1">
      <w:pPr>
        <w:pStyle w:val="BulletedList"/>
        <w:numPr>
          <w:ilvl w:val="0"/>
          <w:numId w:val="167"/>
        </w:numPr>
      </w:pPr>
      <w:r>
        <w:t xml:space="preserve">Casinos (which also includes internet and ship based casinos). </w:t>
      </w:r>
    </w:p>
    <w:p w14:paraId="3A929458" w14:textId="29C76C32" w:rsidR="0098261F" w:rsidRDefault="0098261F" w:rsidP="00533ED1">
      <w:pPr>
        <w:pStyle w:val="BulletedList"/>
        <w:numPr>
          <w:ilvl w:val="0"/>
          <w:numId w:val="167"/>
        </w:numPr>
      </w:pPr>
      <w:r>
        <w:t xml:space="preserve">Real estate agents. </w:t>
      </w:r>
    </w:p>
    <w:p w14:paraId="2451B4EF" w14:textId="628E8D2F" w:rsidR="0098261F" w:rsidRDefault="0098261F" w:rsidP="00533ED1">
      <w:pPr>
        <w:pStyle w:val="BulletedList"/>
        <w:numPr>
          <w:ilvl w:val="0"/>
          <w:numId w:val="167"/>
        </w:numPr>
      </w:pPr>
      <w:r>
        <w:t xml:space="preserve">Dealers in precious metals. </w:t>
      </w:r>
    </w:p>
    <w:p w14:paraId="6D96FACE" w14:textId="11CB27CF" w:rsidR="0098261F" w:rsidRDefault="0098261F" w:rsidP="00533ED1">
      <w:pPr>
        <w:pStyle w:val="BulletedList"/>
        <w:numPr>
          <w:ilvl w:val="0"/>
          <w:numId w:val="167"/>
        </w:numPr>
      </w:pPr>
      <w:r>
        <w:t xml:space="preserve">Dealers in precious stones. </w:t>
      </w:r>
    </w:p>
    <w:p w14:paraId="5420A3B3" w14:textId="43423D0C" w:rsidR="0098261F" w:rsidRDefault="00A1312F" w:rsidP="00533ED1">
      <w:pPr>
        <w:pStyle w:val="BulletedList"/>
        <w:numPr>
          <w:ilvl w:val="0"/>
          <w:numId w:val="167"/>
        </w:numPr>
      </w:pPr>
      <w:r>
        <w:t>L</w:t>
      </w:r>
      <w:r w:rsidR="007204B4">
        <w:t>awyers</w:t>
      </w:r>
      <w:r w:rsidR="0098261F">
        <w:t xml:space="preserve">, notaries, other independent legal professionals and accountants – this refers to sole practitioners, partners or employed professionals within professional firms. It is not meant to refer to ‘internal’ professionals that are employees of other types of businesses, nor to professionals working for government agencies, who may already be subject to AML/CFT measures. </w:t>
      </w:r>
    </w:p>
    <w:p w14:paraId="0334F567" w14:textId="0349652C" w:rsidR="0098261F" w:rsidRDefault="0098261F" w:rsidP="00533ED1">
      <w:pPr>
        <w:pStyle w:val="BulletedList"/>
        <w:numPr>
          <w:ilvl w:val="0"/>
          <w:numId w:val="167"/>
        </w:numPr>
      </w:pPr>
      <w:r>
        <w:t xml:space="preserve">Trust and Company Service Providers refers to all persons or businesses that are not covered elsewhere under the Recommendations, and which as a business, provide any of the following services to third parties: </w:t>
      </w:r>
    </w:p>
    <w:p w14:paraId="21B72F0F" w14:textId="77777777" w:rsidR="0098261F" w:rsidRPr="005218ED" w:rsidRDefault="0098261F" w:rsidP="005218ED">
      <w:pPr>
        <w:pStyle w:val="BulletedList"/>
      </w:pPr>
      <w:r w:rsidRPr="005218ED">
        <w:t>Acting as a formation agent of legal persons;</w:t>
      </w:r>
    </w:p>
    <w:p w14:paraId="0B952699" w14:textId="77777777" w:rsidR="0098261F" w:rsidRPr="005218ED" w:rsidRDefault="0098261F" w:rsidP="005218ED">
      <w:pPr>
        <w:pStyle w:val="BulletedList"/>
      </w:pPr>
      <w:r w:rsidRPr="005218ED">
        <w:t>Acting as (or arranging for another person to act as) a director or secretary of a company, a partner of a partnership, or a similar position in relation to other legal persons;</w:t>
      </w:r>
    </w:p>
    <w:p w14:paraId="73F68562" w14:textId="77777777" w:rsidR="0098261F" w:rsidRPr="005218ED" w:rsidRDefault="0098261F" w:rsidP="005218ED">
      <w:pPr>
        <w:pStyle w:val="BulletedList"/>
      </w:pPr>
      <w:r w:rsidRPr="005218ED">
        <w:t>Providing a registered office; business address or accommodation, correspondence or administrative address for a company, a partnership or any other legal person or arrangement;</w:t>
      </w:r>
    </w:p>
    <w:p w14:paraId="5367FD95" w14:textId="77777777" w:rsidR="0098261F" w:rsidRPr="005218ED" w:rsidRDefault="0098261F" w:rsidP="005218ED">
      <w:pPr>
        <w:pStyle w:val="BulletedList"/>
      </w:pPr>
      <w:r w:rsidRPr="005218ED">
        <w:t>Acting as (or arranging for another person to act as) a trustee of an express trust or performing the equivalent function for another form of legal arrangement;</w:t>
      </w:r>
    </w:p>
    <w:p w14:paraId="57781611" w14:textId="04B7ABED" w:rsidR="0098261F" w:rsidRPr="005218ED" w:rsidRDefault="0098261F" w:rsidP="005218ED">
      <w:pPr>
        <w:pStyle w:val="BulletedList"/>
      </w:pPr>
      <w:r w:rsidRPr="005218ED">
        <w:t>Acting as (or arranging for another person to act as) a nominee shareholder for another person.</w:t>
      </w:r>
    </w:p>
    <w:p w14:paraId="50F88488" w14:textId="77777777" w:rsidR="001E5CE2" w:rsidRDefault="001E5CE2" w:rsidP="005218ED">
      <w:pPr>
        <w:pStyle w:val="Para0"/>
        <w:ind w:left="0"/>
        <w:rPr>
          <w:b/>
          <w:sz w:val="24"/>
        </w:rPr>
      </w:pPr>
    </w:p>
    <w:p w14:paraId="7BCEB6E7" w14:textId="6FC418CE" w:rsidR="0098261F" w:rsidRPr="005218ED" w:rsidRDefault="0098261F" w:rsidP="005218ED">
      <w:pPr>
        <w:pStyle w:val="Para0"/>
        <w:ind w:left="0"/>
        <w:rPr>
          <w:b/>
          <w:sz w:val="24"/>
        </w:rPr>
      </w:pPr>
      <w:r w:rsidRPr="005218ED">
        <w:rPr>
          <w:b/>
          <w:sz w:val="24"/>
        </w:rPr>
        <w:lastRenderedPageBreak/>
        <w:t>Express Trust</w:t>
      </w:r>
    </w:p>
    <w:p w14:paraId="2612BEBE" w14:textId="77777777" w:rsidR="0098261F" w:rsidRDefault="0098261F" w:rsidP="005218ED">
      <w:pPr>
        <w:pStyle w:val="Para0"/>
      </w:pPr>
      <w:r w:rsidRPr="005218ED">
        <w:t>Express trust refers to a trust clearly created by the settlor, usually in the form of a document e.g. a written deed of trust. They are to be contrasted with trusts which come into being through the operation of the law and which do not result from the clear intent or decision of a settlor to create a trust or similar legal arrangements (e.g. constructive trust).</w:t>
      </w:r>
      <w:r>
        <w:t>’</w:t>
      </w:r>
    </w:p>
    <w:p w14:paraId="1315C49D" w14:textId="77777777" w:rsidR="0098261F" w:rsidRPr="005218ED" w:rsidRDefault="0098261F" w:rsidP="005218ED">
      <w:pPr>
        <w:pStyle w:val="Para0"/>
        <w:ind w:left="0"/>
        <w:rPr>
          <w:b/>
          <w:sz w:val="24"/>
        </w:rPr>
      </w:pPr>
      <w:r w:rsidRPr="005218ED">
        <w:rPr>
          <w:b/>
          <w:sz w:val="24"/>
        </w:rPr>
        <w:t>FATF Recommendations</w:t>
      </w:r>
    </w:p>
    <w:p w14:paraId="23CFB0D2" w14:textId="77777777" w:rsidR="0098261F" w:rsidRDefault="0098261F" w:rsidP="005218ED">
      <w:pPr>
        <w:pStyle w:val="Para0"/>
        <w:rPr>
          <w:b/>
          <w:bCs/>
        </w:rPr>
      </w:pPr>
      <w:r>
        <w:t>Refers to the FATF Forty Recommendations.</w:t>
      </w:r>
    </w:p>
    <w:p w14:paraId="4F89F27B" w14:textId="77777777" w:rsidR="0098261F" w:rsidRPr="005218ED" w:rsidRDefault="0098261F" w:rsidP="005218ED">
      <w:pPr>
        <w:pStyle w:val="Para0"/>
        <w:ind w:left="0"/>
        <w:rPr>
          <w:b/>
          <w:sz w:val="24"/>
        </w:rPr>
      </w:pPr>
      <w:r w:rsidRPr="005218ED">
        <w:rPr>
          <w:b/>
          <w:sz w:val="24"/>
        </w:rPr>
        <w:t>Legal Person</w:t>
      </w:r>
    </w:p>
    <w:p w14:paraId="74CABD78" w14:textId="77777777" w:rsidR="0098261F" w:rsidRDefault="0098261F" w:rsidP="005218ED">
      <w:pPr>
        <w:pStyle w:val="Para0"/>
      </w:pPr>
      <w:r>
        <w:rPr>
          <w:i/>
        </w:rPr>
        <w:t xml:space="preserve">Legal person </w:t>
      </w:r>
      <w:r>
        <w:t>refers to any entities other than natural persons that can establish a permanent client relationship with a legal professional or otherwise own property. This can include bodies corporate, foundations, anstalt, partnerships, or associations and other relevantly similar entities.</w:t>
      </w:r>
    </w:p>
    <w:p w14:paraId="6E66A5E5" w14:textId="77777777" w:rsidR="0098261F" w:rsidRPr="005218ED" w:rsidRDefault="0098261F" w:rsidP="005218ED">
      <w:pPr>
        <w:pStyle w:val="Para0"/>
        <w:ind w:left="0"/>
        <w:rPr>
          <w:b/>
          <w:sz w:val="24"/>
        </w:rPr>
      </w:pPr>
      <w:r w:rsidRPr="005218ED">
        <w:rPr>
          <w:b/>
          <w:sz w:val="24"/>
        </w:rPr>
        <w:t>Legal Professional</w:t>
      </w:r>
    </w:p>
    <w:p w14:paraId="0F59B572" w14:textId="4B5385C5" w:rsidR="0098261F" w:rsidRDefault="0098261F" w:rsidP="005218ED">
      <w:pPr>
        <w:pStyle w:val="Para0"/>
      </w:pPr>
      <w:r>
        <w:t>In this Guidance, the term</w:t>
      </w:r>
      <w:r>
        <w:rPr>
          <w:i/>
        </w:rPr>
        <w:t xml:space="preserve"> “Legal professional”</w:t>
      </w:r>
      <w:r>
        <w:t xml:space="preserve"> refers to </w:t>
      </w:r>
      <w:r w:rsidR="00A1312F">
        <w:t>legal professionals</w:t>
      </w:r>
      <w:r>
        <w:t>, civil law notaries, common law notaries, and other independent legal professionals.</w:t>
      </w:r>
    </w:p>
    <w:p w14:paraId="31F4D631" w14:textId="77777777" w:rsidR="0098261F" w:rsidRPr="005218ED" w:rsidRDefault="0098261F" w:rsidP="005218ED">
      <w:pPr>
        <w:pStyle w:val="Para0"/>
        <w:ind w:left="0"/>
        <w:rPr>
          <w:b/>
          <w:sz w:val="24"/>
        </w:rPr>
      </w:pPr>
      <w:r w:rsidRPr="005218ED">
        <w:rPr>
          <w:b/>
          <w:sz w:val="24"/>
        </w:rPr>
        <w:t>Politically Exposed Persons (PEPs)</w:t>
      </w:r>
    </w:p>
    <w:p w14:paraId="1703AC5B" w14:textId="77777777" w:rsidR="0098261F" w:rsidRDefault="0098261F" w:rsidP="005218ED">
      <w:pPr>
        <w:pStyle w:val="Para0"/>
      </w:pPr>
      <w:r w:rsidRPr="00603260">
        <w:rPr>
          <w:i/>
        </w:rPr>
        <w:t xml:space="preserve">Foreign PEPs </w:t>
      </w:r>
      <w:r>
        <w:t xml:space="preserve">are individuals who are or have been entrusted with prominent public functions by a foreign country, for example Heads of State or of government, senior politicians, senior government, judicial or military officials, senior executives of state owned corporations, important political party officials. </w:t>
      </w:r>
      <w:r w:rsidRPr="00603260">
        <w:rPr>
          <w:i/>
        </w:rPr>
        <w:t>Domestic PEPs</w:t>
      </w:r>
      <w:r>
        <w:t xml:space="preserve"> are individuals who are or have been entrusted domestically with prominent public functions, for example Heads of State or of government, senior politicians, senior government, judicial or military officials, senior executives of state owned corporations, important political party officials. Persons who are or have been entrusted with a prominent function by an international organisation refers to members of senior management, i.e. directors, deputy directors and members of the board or equivalent functions. The definition of PEPs is not intended to cover middle ranking or more junior individuals in the foregoing categories.</w:t>
      </w:r>
    </w:p>
    <w:p w14:paraId="78EFDC74" w14:textId="77777777" w:rsidR="0098261F" w:rsidRPr="005218ED" w:rsidRDefault="0098261F" w:rsidP="005218ED">
      <w:pPr>
        <w:pStyle w:val="Para0"/>
        <w:ind w:left="0"/>
        <w:rPr>
          <w:b/>
          <w:sz w:val="24"/>
        </w:rPr>
      </w:pPr>
      <w:r w:rsidRPr="005218ED">
        <w:rPr>
          <w:b/>
          <w:sz w:val="24"/>
        </w:rPr>
        <w:t>Red Flags</w:t>
      </w:r>
    </w:p>
    <w:p w14:paraId="2683623B" w14:textId="2B48AB6D" w:rsidR="0098261F" w:rsidRPr="005218ED" w:rsidRDefault="0098261F" w:rsidP="005218ED">
      <w:pPr>
        <w:pStyle w:val="Para0"/>
      </w:pPr>
      <w:r w:rsidRPr="005218ED">
        <w:t xml:space="preserve">Any fact or set of facts or circumstances which, when viewed on their own or in combination with other facts and circumstances, indicate a higher risk of illicit activity. A “red flag” may be used as a short hand for any indicator of risk which puts an investigating </w:t>
      </w:r>
      <w:r w:rsidR="00775D30" w:rsidRPr="005218ED">
        <w:t>TCSP</w:t>
      </w:r>
      <w:r w:rsidRPr="005218ED">
        <w:t xml:space="preserve"> on notice that further checks or other appropriate safeguarding actions will be required.</w:t>
      </w:r>
    </w:p>
    <w:p w14:paraId="01879339" w14:textId="77777777" w:rsidR="0098261F" w:rsidRPr="005218ED" w:rsidRDefault="0098261F" w:rsidP="005218ED">
      <w:pPr>
        <w:pStyle w:val="Para0"/>
        <w:ind w:left="0"/>
        <w:rPr>
          <w:b/>
          <w:sz w:val="24"/>
        </w:rPr>
      </w:pPr>
      <w:r w:rsidRPr="005218ED">
        <w:rPr>
          <w:b/>
          <w:sz w:val="24"/>
        </w:rPr>
        <w:t>Self-regulatory bodies (SRB)</w:t>
      </w:r>
    </w:p>
    <w:p w14:paraId="0FED79C7" w14:textId="435B3432" w:rsidR="0098261F" w:rsidRDefault="0098261F" w:rsidP="005218ED">
      <w:pPr>
        <w:pStyle w:val="Para0"/>
      </w:pPr>
      <w:r>
        <w:t xml:space="preserve">A </w:t>
      </w:r>
      <w:r w:rsidRPr="00603260">
        <w:rPr>
          <w:i/>
        </w:rPr>
        <w:t>SRB</w:t>
      </w:r>
      <w:r>
        <w:t xml:space="preserve"> is a body that represents a profession (e.g. </w:t>
      </w:r>
      <w:r w:rsidR="00A1312F">
        <w:t>legal professionals</w:t>
      </w:r>
      <w:r>
        <w:t xml:space="preserve">, notaries, other independent legal professionals or accountants), and which is made up of members from the profession, has a role in regulating the persons that are qualified to enter and who practise in the profession, and also performs certain supervisory or monitoring type functions. Such bodies should enforce rules to ensure that high ethical and moral standards are maintained by those practising the profession. </w:t>
      </w:r>
    </w:p>
    <w:p w14:paraId="1CEE33FD" w14:textId="5A0A9235" w:rsidR="00BF5699" w:rsidRDefault="00BF5699" w:rsidP="005218ED">
      <w:pPr>
        <w:pStyle w:val="Para0"/>
      </w:pPr>
    </w:p>
    <w:p w14:paraId="6297DE88" w14:textId="77777777" w:rsidR="00BF5699" w:rsidRDefault="00BF5699" w:rsidP="005218ED">
      <w:pPr>
        <w:pStyle w:val="Para0"/>
      </w:pPr>
    </w:p>
    <w:p w14:paraId="65BBD6DF" w14:textId="77777777" w:rsidR="0098261F" w:rsidRPr="005218ED" w:rsidRDefault="0098261F" w:rsidP="005218ED">
      <w:pPr>
        <w:pStyle w:val="Para0"/>
        <w:ind w:left="0"/>
        <w:rPr>
          <w:b/>
          <w:sz w:val="24"/>
        </w:rPr>
      </w:pPr>
      <w:r w:rsidRPr="005218ED">
        <w:rPr>
          <w:b/>
          <w:sz w:val="24"/>
        </w:rPr>
        <w:lastRenderedPageBreak/>
        <w:t>Supervisors</w:t>
      </w:r>
    </w:p>
    <w:p w14:paraId="5FD254B3" w14:textId="5222C81F" w:rsidR="003670BC" w:rsidRDefault="0098261F" w:rsidP="005D6699">
      <w:pPr>
        <w:pStyle w:val="Para0"/>
        <w:rPr>
          <w:bCs/>
          <w:color w:val="4E81BD"/>
          <w:kern w:val="28"/>
          <w:sz w:val="24"/>
          <w:szCs w:val="24"/>
        </w:rPr>
      </w:pPr>
      <w:r w:rsidRPr="00603260">
        <w:rPr>
          <w:i/>
        </w:rPr>
        <w:t>Supervisors</w:t>
      </w:r>
      <w:r>
        <w:t xml:space="preserve"> refers to the designated competent authorities or non-public bodies with responsibilities aimed at ensuring compliance by financial institutions (“financial supervisors” 90) and/or DNFBPs with requirements to combat money laundering and terrorist financing. Non-public bodies (which could include certain types of SRBs) should have the power to supervise and sanction financial institutions or DNFBPs in relation to the AML/CFT requirements. These non-public bodies should also be empowered by law to exercise the functions they perform, and be supervised by a competent authority in relation to such functions.</w:t>
      </w:r>
      <w:bookmarkStart w:id="367" w:name="_Toc525561763"/>
      <w:bookmarkStart w:id="368" w:name="_Toc525562457"/>
      <w:r w:rsidR="003670BC">
        <w:rPr>
          <w:b/>
          <w:szCs w:val="24"/>
        </w:rPr>
        <w:br w:type="page"/>
      </w:r>
    </w:p>
    <w:p w14:paraId="1207D31B" w14:textId="1B26A319" w:rsidR="0098261F" w:rsidRPr="002E2FB4" w:rsidRDefault="00DE6949" w:rsidP="00C7345F">
      <w:pPr>
        <w:pStyle w:val="Heading1"/>
        <w:numPr>
          <w:ilvl w:val="0"/>
          <w:numId w:val="0"/>
        </w:numPr>
        <w:jc w:val="center"/>
        <w:rPr>
          <w:szCs w:val="24"/>
        </w:rPr>
      </w:pPr>
      <w:bookmarkStart w:id="369" w:name="_Toc1994956"/>
      <w:r w:rsidRPr="002E2FB4">
        <w:rPr>
          <w:szCs w:val="24"/>
        </w:rPr>
        <w:lastRenderedPageBreak/>
        <w:t xml:space="preserve">ANNEX </w:t>
      </w:r>
      <w:bookmarkEnd w:id="367"/>
      <w:bookmarkEnd w:id="368"/>
      <w:r w:rsidR="002526CE">
        <w:rPr>
          <w:szCs w:val="24"/>
        </w:rPr>
        <w:t>3</w:t>
      </w:r>
      <w:r w:rsidR="00C61469" w:rsidRPr="002E2FB4">
        <w:rPr>
          <w:szCs w:val="24"/>
        </w:rPr>
        <w:t xml:space="preserve">: </w:t>
      </w:r>
      <w:r w:rsidR="002F6CCD" w:rsidRPr="002E2FB4">
        <w:t xml:space="preserve">Members of </w:t>
      </w:r>
      <w:r w:rsidR="00D60749" w:rsidRPr="002E2FB4">
        <w:t>t</w:t>
      </w:r>
      <w:r w:rsidR="002F6CCD" w:rsidRPr="002E2FB4">
        <w:t>he RBA Drafting Group</w:t>
      </w:r>
      <w:bookmarkEnd w:id="369"/>
    </w:p>
    <w:tbl>
      <w:tblPr>
        <w:tblStyle w:val="OECD"/>
        <w:tblW w:w="0" w:type="auto"/>
        <w:tblLook w:val="04A0" w:firstRow="1" w:lastRow="0" w:firstColumn="1" w:lastColumn="0" w:noHBand="0" w:noVBand="1"/>
      </w:tblPr>
      <w:tblGrid>
        <w:gridCol w:w="2147"/>
        <w:gridCol w:w="121"/>
        <w:gridCol w:w="15"/>
        <w:gridCol w:w="3408"/>
        <w:gridCol w:w="35"/>
        <w:gridCol w:w="3225"/>
        <w:gridCol w:w="6"/>
      </w:tblGrid>
      <w:tr w:rsidR="0098261F" w:rsidRPr="008917BB" w14:paraId="22724963" w14:textId="77777777" w:rsidTr="008046FF">
        <w:trPr>
          <w:gridAfter w:val="1"/>
          <w:cnfStyle w:val="100000000000" w:firstRow="1" w:lastRow="0" w:firstColumn="0" w:lastColumn="0" w:oddVBand="0" w:evenVBand="0" w:oddHBand="0" w:evenHBand="0"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283" w:type="dxa"/>
            <w:gridSpan w:val="3"/>
            <w:tcBorders>
              <w:bottom w:val="single" w:sz="4" w:space="0" w:color="auto"/>
            </w:tcBorders>
          </w:tcPr>
          <w:p w14:paraId="6345E5B0" w14:textId="751D8FFD" w:rsidR="0098261F" w:rsidRPr="008046FF" w:rsidRDefault="00CE7820" w:rsidP="008046FF">
            <w:pPr>
              <w:pStyle w:val="TableColumn"/>
              <w:rPr>
                <w:b/>
                <w:sz w:val="20"/>
                <w:lang w:eastAsia="en-GB"/>
              </w:rPr>
            </w:pPr>
            <w:r w:rsidRPr="008046FF">
              <w:rPr>
                <w:b/>
                <w:sz w:val="20"/>
                <w:lang w:eastAsia="en-GB"/>
              </w:rPr>
              <w:t>FATF m</w:t>
            </w:r>
            <w:r w:rsidR="0098261F" w:rsidRPr="008046FF">
              <w:rPr>
                <w:b/>
                <w:sz w:val="20"/>
                <w:lang w:eastAsia="en-GB"/>
              </w:rPr>
              <w:t>ember</w:t>
            </w:r>
            <w:r w:rsidRPr="008046FF">
              <w:rPr>
                <w:b/>
                <w:sz w:val="20"/>
                <w:lang w:eastAsia="en-GB"/>
              </w:rPr>
              <w:t>s and observers</w:t>
            </w:r>
          </w:p>
        </w:tc>
        <w:tc>
          <w:tcPr>
            <w:tcW w:w="3408" w:type="dxa"/>
            <w:tcBorders>
              <w:bottom w:val="single" w:sz="4" w:space="0" w:color="auto"/>
            </w:tcBorders>
          </w:tcPr>
          <w:p w14:paraId="0B8983F5" w14:textId="77777777" w:rsidR="0098261F" w:rsidRPr="008046FF" w:rsidRDefault="0098261F" w:rsidP="008046FF">
            <w:pPr>
              <w:pStyle w:val="TableColumn"/>
              <w:cnfStyle w:val="100000000000" w:firstRow="1" w:lastRow="0" w:firstColumn="0" w:lastColumn="0" w:oddVBand="0" w:evenVBand="0" w:oddHBand="0" w:evenHBand="0" w:firstRowFirstColumn="0" w:firstRowLastColumn="0" w:lastRowFirstColumn="0" w:lastRowLastColumn="0"/>
              <w:rPr>
                <w:b/>
                <w:sz w:val="20"/>
                <w:lang w:eastAsia="en-GB"/>
              </w:rPr>
            </w:pPr>
            <w:r w:rsidRPr="008046FF">
              <w:rPr>
                <w:b/>
                <w:sz w:val="20"/>
                <w:lang w:eastAsia="en-GB"/>
              </w:rPr>
              <w:t>Office</w:t>
            </w:r>
          </w:p>
        </w:tc>
        <w:tc>
          <w:tcPr>
            <w:tcW w:w="3260" w:type="dxa"/>
            <w:gridSpan w:val="2"/>
            <w:tcBorders>
              <w:bottom w:val="single" w:sz="4" w:space="0" w:color="auto"/>
            </w:tcBorders>
          </w:tcPr>
          <w:p w14:paraId="3597FA83" w14:textId="77777777" w:rsidR="0098261F" w:rsidRPr="008046FF" w:rsidRDefault="0098261F" w:rsidP="008046FF">
            <w:pPr>
              <w:pStyle w:val="TableColumn"/>
              <w:cnfStyle w:val="100000000000" w:firstRow="1" w:lastRow="0" w:firstColumn="0" w:lastColumn="0" w:oddVBand="0" w:evenVBand="0" w:oddHBand="0" w:evenHBand="0" w:firstRowFirstColumn="0" w:firstRowLastColumn="0" w:lastRowFirstColumn="0" w:lastRowLastColumn="0"/>
              <w:rPr>
                <w:b/>
                <w:sz w:val="20"/>
                <w:lang w:eastAsia="en-GB"/>
              </w:rPr>
            </w:pPr>
            <w:r w:rsidRPr="008046FF">
              <w:rPr>
                <w:b/>
                <w:sz w:val="20"/>
                <w:lang w:eastAsia="en-GB"/>
              </w:rPr>
              <w:t>Country/Institution</w:t>
            </w:r>
          </w:p>
        </w:tc>
      </w:tr>
      <w:tr w:rsidR="0098261F" w:rsidRPr="008917BB" w14:paraId="0B9F59BB" w14:textId="77777777" w:rsidTr="008046FF">
        <w:trPr>
          <w:gridAfter w:val="1"/>
          <w:cnfStyle w:val="000000100000" w:firstRow="0" w:lastRow="0" w:firstColumn="0" w:lastColumn="0" w:oddVBand="0" w:evenVBand="0" w:oddHBand="1" w:evenHBand="0" w:firstRowFirstColumn="0" w:firstRowLastColumn="0" w:lastRowFirstColumn="0" w:lastRowLastColumn="0"/>
          <w:wAfter w:w="6" w:type="dxa"/>
          <w:trHeight w:val="186"/>
        </w:trPr>
        <w:tc>
          <w:tcPr>
            <w:cnfStyle w:val="001000000000" w:firstRow="0" w:lastRow="0" w:firstColumn="1" w:lastColumn="0" w:oddVBand="0" w:evenVBand="0" w:oddHBand="0" w:evenHBand="0" w:firstRowFirstColumn="0" w:firstRowLastColumn="0" w:lastRowFirstColumn="0" w:lastRowLastColumn="0"/>
            <w:tcW w:w="2283" w:type="dxa"/>
            <w:gridSpan w:val="3"/>
            <w:tcBorders>
              <w:top w:val="single" w:sz="4" w:space="0" w:color="auto"/>
            </w:tcBorders>
          </w:tcPr>
          <w:p w14:paraId="15760D9F" w14:textId="77777777" w:rsidR="0098261F" w:rsidRPr="008917BB" w:rsidRDefault="0098261F" w:rsidP="008046FF">
            <w:pPr>
              <w:pStyle w:val="TableCell"/>
              <w:jc w:val="left"/>
              <w:rPr>
                <w:lang w:eastAsia="en-GB"/>
              </w:rPr>
            </w:pPr>
            <w:r w:rsidRPr="008917BB">
              <w:rPr>
                <w:lang w:eastAsia="en-GB"/>
              </w:rPr>
              <w:t>Sarah Wheeler</w:t>
            </w:r>
            <w:r>
              <w:rPr>
                <w:lang w:eastAsia="en-GB"/>
              </w:rPr>
              <w:t xml:space="preserve"> </w:t>
            </w:r>
            <w:r w:rsidRPr="005C4F39">
              <w:rPr>
                <w:lang w:eastAsia="en-GB"/>
              </w:rPr>
              <w:t>(Co-chair)</w:t>
            </w:r>
          </w:p>
        </w:tc>
        <w:tc>
          <w:tcPr>
            <w:tcW w:w="3408" w:type="dxa"/>
            <w:tcBorders>
              <w:top w:val="single" w:sz="4" w:space="0" w:color="auto"/>
            </w:tcBorders>
          </w:tcPr>
          <w:p w14:paraId="6CF53825"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Office for Professional Body AML Supervision (OPBAS), FCA</w:t>
            </w:r>
          </w:p>
        </w:tc>
        <w:tc>
          <w:tcPr>
            <w:tcW w:w="3260" w:type="dxa"/>
            <w:gridSpan w:val="2"/>
            <w:tcBorders>
              <w:top w:val="single" w:sz="4" w:space="0" w:color="auto"/>
            </w:tcBorders>
          </w:tcPr>
          <w:p w14:paraId="1677C3CD"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UK</w:t>
            </w:r>
          </w:p>
        </w:tc>
      </w:tr>
      <w:tr w:rsidR="0098261F" w:rsidRPr="008917BB" w14:paraId="302C5C22"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461"/>
        </w:trPr>
        <w:tc>
          <w:tcPr>
            <w:cnfStyle w:val="001000000000" w:firstRow="0" w:lastRow="0" w:firstColumn="1" w:lastColumn="0" w:oddVBand="0" w:evenVBand="0" w:oddHBand="0" w:evenHBand="0" w:firstRowFirstColumn="0" w:firstRowLastColumn="0" w:lastRowFirstColumn="0" w:lastRowLastColumn="0"/>
            <w:tcW w:w="2283" w:type="dxa"/>
            <w:gridSpan w:val="3"/>
          </w:tcPr>
          <w:p w14:paraId="7B420EA1" w14:textId="1DE540F4" w:rsidR="0098261F" w:rsidRPr="00F67A11" w:rsidRDefault="009267DA" w:rsidP="008046FF">
            <w:pPr>
              <w:pStyle w:val="TableCell"/>
              <w:jc w:val="left"/>
              <w:rPr>
                <w:b/>
                <w:lang w:eastAsia="en-GB"/>
              </w:rPr>
            </w:pPr>
            <w:r>
              <w:rPr>
                <w:lang w:eastAsia="en-GB"/>
              </w:rPr>
              <w:t>Sandra Garcia</w:t>
            </w:r>
            <w:r w:rsidR="0098261F">
              <w:rPr>
                <w:lang w:eastAsia="en-GB"/>
              </w:rPr>
              <w:t xml:space="preserve"> </w:t>
            </w:r>
            <w:r w:rsidR="0098261F" w:rsidRPr="005C4F39">
              <w:rPr>
                <w:lang w:eastAsia="en-GB"/>
              </w:rPr>
              <w:t>(Co-chair)</w:t>
            </w:r>
          </w:p>
        </w:tc>
        <w:tc>
          <w:tcPr>
            <w:tcW w:w="3408" w:type="dxa"/>
          </w:tcPr>
          <w:p w14:paraId="3038436E"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Department of Treasury</w:t>
            </w:r>
          </w:p>
        </w:tc>
        <w:tc>
          <w:tcPr>
            <w:tcW w:w="3260" w:type="dxa"/>
            <w:gridSpan w:val="2"/>
            <w:vMerge w:val="restart"/>
          </w:tcPr>
          <w:p w14:paraId="797FA00F"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USA</w:t>
            </w:r>
          </w:p>
        </w:tc>
      </w:tr>
      <w:tr w:rsidR="0098261F" w:rsidRPr="008917BB" w14:paraId="07E30CB3"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212"/>
        </w:trPr>
        <w:tc>
          <w:tcPr>
            <w:cnfStyle w:val="001000000000" w:firstRow="0" w:lastRow="0" w:firstColumn="1" w:lastColumn="0" w:oddVBand="0" w:evenVBand="0" w:oddHBand="0" w:evenHBand="0" w:firstRowFirstColumn="0" w:firstRowLastColumn="0" w:lastRowFirstColumn="0" w:lastRowLastColumn="0"/>
            <w:tcW w:w="2283" w:type="dxa"/>
            <w:gridSpan w:val="3"/>
          </w:tcPr>
          <w:p w14:paraId="30D7416B" w14:textId="77777777" w:rsidR="0098261F" w:rsidRPr="008917BB" w:rsidRDefault="0098261F" w:rsidP="008046FF">
            <w:pPr>
              <w:pStyle w:val="TableCell"/>
              <w:jc w:val="left"/>
              <w:rPr>
                <w:lang w:eastAsia="en-GB"/>
              </w:rPr>
            </w:pPr>
            <w:r w:rsidRPr="008917BB">
              <w:rPr>
                <w:lang w:eastAsia="en-GB"/>
              </w:rPr>
              <w:t>Erik Kiefel</w:t>
            </w:r>
            <w:r>
              <w:rPr>
                <w:lang w:eastAsia="en-GB"/>
              </w:rPr>
              <w:t xml:space="preserve"> </w:t>
            </w:r>
          </w:p>
        </w:tc>
        <w:tc>
          <w:tcPr>
            <w:tcW w:w="3408" w:type="dxa"/>
          </w:tcPr>
          <w:p w14:paraId="4CF58122"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Pr>
                <w:lang w:eastAsia="en-GB"/>
              </w:rPr>
              <w:t>FinCen</w:t>
            </w:r>
          </w:p>
        </w:tc>
        <w:tc>
          <w:tcPr>
            <w:tcW w:w="3260" w:type="dxa"/>
            <w:gridSpan w:val="2"/>
            <w:vMerge/>
          </w:tcPr>
          <w:p w14:paraId="0167D856"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p>
        </w:tc>
      </w:tr>
      <w:tr w:rsidR="0098261F" w:rsidRPr="008917BB" w14:paraId="4AE1222C"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487"/>
        </w:trPr>
        <w:tc>
          <w:tcPr>
            <w:cnfStyle w:val="001000000000" w:firstRow="0" w:lastRow="0" w:firstColumn="1" w:lastColumn="0" w:oddVBand="0" w:evenVBand="0" w:oddHBand="0" w:evenHBand="0" w:firstRowFirstColumn="0" w:firstRowLastColumn="0" w:lastRowFirstColumn="0" w:lastRowLastColumn="0"/>
            <w:tcW w:w="2283" w:type="dxa"/>
            <w:gridSpan w:val="3"/>
          </w:tcPr>
          <w:p w14:paraId="2C6ADE03" w14:textId="77777777" w:rsidR="0098261F" w:rsidRPr="008917BB" w:rsidRDefault="0098261F" w:rsidP="008046FF">
            <w:pPr>
              <w:pStyle w:val="TableCell"/>
              <w:jc w:val="left"/>
              <w:rPr>
                <w:lang w:eastAsia="en-GB"/>
              </w:rPr>
            </w:pPr>
            <w:r w:rsidRPr="008917BB">
              <w:rPr>
                <w:lang w:eastAsia="en-GB"/>
              </w:rPr>
              <w:t>Helena Landstedt</w:t>
            </w:r>
            <w:r>
              <w:rPr>
                <w:lang w:eastAsia="en-GB"/>
              </w:rPr>
              <w:t xml:space="preserve"> and </w:t>
            </w:r>
            <w:r w:rsidRPr="008917BB">
              <w:rPr>
                <w:lang w:eastAsia="en-GB"/>
              </w:rPr>
              <w:t>Josefin Lind</w:t>
            </w:r>
          </w:p>
        </w:tc>
        <w:tc>
          <w:tcPr>
            <w:tcW w:w="3408" w:type="dxa"/>
          </w:tcPr>
          <w:p w14:paraId="1AD3D3CC"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County Administrative Board for Stockholm</w:t>
            </w:r>
          </w:p>
        </w:tc>
        <w:tc>
          <w:tcPr>
            <w:tcW w:w="3260" w:type="dxa"/>
            <w:gridSpan w:val="2"/>
          </w:tcPr>
          <w:p w14:paraId="4B710BDE"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Sweden</w:t>
            </w:r>
          </w:p>
        </w:tc>
      </w:tr>
      <w:tr w:rsidR="0098261F" w:rsidRPr="008917BB" w14:paraId="57B91935"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300"/>
        </w:trPr>
        <w:tc>
          <w:tcPr>
            <w:cnfStyle w:val="001000000000" w:firstRow="0" w:lastRow="0" w:firstColumn="1" w:lastColumn="0" w:oddVBand="0" w:evenVBand="0" w:oddHBand="0" w:evenHBand="0" w:firstRowFirstColumn="0" w:firstRowLastColumn="0" w:lastRowFirstColumn="0" w:lastRowLastColumn="0"/>
            <w:tcW w:w="2283" w:type="dxa"/>
            <w:gridSpan w:val="3"/>
          </w:tcPr>
          <w:p w14:paraId="39E8BDF6" w14:textId="77777777" w:rsidR="0098261F" w:rsidRPr="008917BB" w:rsidRDefault="0098261F" w:rsidP="008046FF">
            <w:pPr>
              <w:pStyle w:val="TableCell"/>
              <w:jc w:val="left"/>
              <w:rPr>
                <w:lang w:eastAsia="en-GB"/>
              </w:rPr>
            </w:pPr>
            <w:r w:rsidRPr="008917BB">
              <w:rPr>
                <w:lang w:eastAsia="en-GB"/>
              </w:rPr>
              <w:t>Charlene Davidson</w:t>
            </w:r>
          </w:p>
        </w:tc>
        <w:tc>
          <w:tcPr>
            <w:tcW w:w="3408" w:type="dxa"/>
          </w:tcPr>
          <w:p w14:paraId="30CC6740"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Department of Finance</w:t>
            </w:r>
          </w:p>
        </w:tc>
        <w:tc>
          <w:tcPr>
            <w:tcW w:w="3260" w:type="dxa"/>
            <w:gridSpan w:val="2"/>
          </w:tcPr>
          <w:p w14:paraId="2CA1D6C5"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Canada</w:t>
            </w:r>
          </w:p>
        </w:tc>
      </w:tr>
      <w:tr w:rsidR="0098261F" w:rsidRPr="008917BB" w14:paraId="671DEBCF"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193"/>
        </w:trPr>
        <w:tc>
          <w:tcPr>
            <w:cnfStyle w:val="001000000000" w:firstRow="0" w:lastRow="0" w:firstColumn="1" w:lastColumn="0" w:oddVBand="0" w:evenVBand="0" w:oddHBand="0" w:evenHBand="0" w:firstRowFirstColumn="0" w:firstRowLastColumn="0" w:lastRowFirstColumn="0" w:lastRowLastColumn="0"/>
            <w:tcW w:w="2283" w:type="dxa"/>
            <w:gridSpan w:val="3"/>
          </w:tcPr>
          <w:p w14:paraId="7308F7B1" w14:textId="77777777" w:rsidR="0098261F" w:rsidRPr="008917BB" w:rsidRDefault="0098261F" w:rsidP="008046FF">
            <w:pPr>
              <w:pStyle w:val="TableCell"/>
              <w:jc w:val="left"/>
              <w:rPr>
                <w:lang w:eastAsia="en-GB"/>
              </w:rPr>
            </w:pPr>
            <w:r w:rsidRPr="008917BB">
              <w:rPr>
                <w:lang w:eastAsia="en-GB"/>
              </w:rPr>
              <w:t>Viviana Garza Salazar</w:t>
            </w:r>
          </w:p>
        </w:tc>
        <w:tc>
          <w:tcPr>
            <w:tcW w:w="3408" w:type="dxa"/>
          </w:tcPr>
          <w:p w14:paraId="3A1341A7"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Central Bank of Mexico</w:t>
            </w:r>
          </w:p>
        </w:tc>
        <w:tc>
          <w:tcPr>
            <w:tcW w:w="3260" w:type="dxa"/>
            <w:gridSpan w:val="2"/>
          </w:tcPr>
          <w:p w14:paraId="0FCA835B"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Mexico</w:t>
            </w:r>
          </w:p>
        </w:tc>
      </w:tr>
      <w:tr w:rsidR="0098261F" w:rsidRPr="008917BB" w14:paraId="0F821811"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527"/>
        </w:trPr>
        <w:tc>
          <w:tcPr>
            <w:cnfStyle w:val="001000000000" w:firstRow="0" w:lastRow="0" w:firstColumn="1" w:lastColumn="0" w:oddVBand="0" w:evenVBand="0" w:oddHBand="0" w:evenHBand="0" w:firstRowFirstColumn="0" w:firstRowLastColumn="0" w:lastRowFirstColumn="0" w:lastRowLastColumn="0"/>
            <w:tcW w:w="2283" w:type="dxa"/>
            <w:gridSpan w:val="3"/>
          </w:tcPr>
          <w:p w14:paraId="01EC556C" w14:textId="77777777" w:rsidR="0098261F" w:rsidRPr="008917BB" w:rsidRDefault="0098261F" w:rsidP="008046FF">
            <w:pPr>
              <w:pStyle w:val="TableCell"/>
              <w:jc w:val="left"/>
              <w:rPr>
                <w:lang w:eastAsia="en-GB"/>
              </w:rPr>
            </w:pPr>
            <w:r w:rsidRPr="008917BB">
              <w:rPr>
                <w:lang w:eastAsia="en-GB"/>
              </w:rPr>
              <w:t>Fiona Crocker</w:t>
            </w:r>
          </w:p>
        </w:tc>
        <w:tc>
          <w:tcPr>
            <w:tcW w:w="3408" w:type="dxa"/>
          </w:tcPr>
          <w:p w14:paraId="6295AEF4"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Guernsey Financial Services Commission</w:t>
            </w:r>
          </w:p>
        </w:tc>
        <w:tc>
          <w:tcPr>
            <w:tcW w:w="3260" w:type="dxa"/>
            <w:gridSpan w:val="2"/>
          </w:tcPr>
          <w:p w14:paraId="2365B29E"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Group of International Finance Centre Supervisors(GIFCS)</w:t>
            </w:r>
          </w:p>
        </w:tc>
      </w:tr>
      <w:tr w:rsidR="0098261F" w:rsidRPr="008917BB" w14:paraId="76736083"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300"/>
        </w:trPr>
        <w:tc>
          <w:tcPr>
            <w:cnfStyle w:val="001000000000" w:firstRow="0" w:lastRow="0" w:firstColumn="1" w:lastColumn="0" w:oddVBand="0" w:evenVBand="0" w:oddHBand="0" w:evenHBand="0" w:firstRowFirstColumn="0" w:firstRowLastColumn="0" w:lastRowFirstColumn="0" w:lastRowLastColumn="0"/>
            <w:tcW w:w="2283" w:type="dxa"/>
            <w:gridSpan w:val="3"/>
          </w:tcPr>
          <w:p w14:paraId="0CE1EE4A" w14:textId="77777777" w:rsidR="0098261F" w:rsidRPr="008917BB" w:rsidRDefault="0098261F" w:rsidP="008046FF">
            <w:pPr>
              <w:pStyle w:val="TableCell"/>
              <w:jc w:val="left"/>
              <w:rPr>
                <w:lang w:eastAsia="en-GB"/>
              </w:rPr>
            </w:pPr>
            <w:r w:rsidRPr="008917BB">
              <w:rPr>
                <w:lang w:eastAsia="en-GB"/>
              </w:rPr>
              <w:t>Ms Janice Tan</w:t>
            </w:r>
          </w:p>
        </w:tc>
        <w:tc>
          <w:tcPr>
            <w:tcW w:w="3408" w:type="dxa"/>
          </w:tcPr>
          <w:p w14:paraId="527F4381"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Accounting and Regulatory Authority</w:t>
            </w:r>
          </w:p>
        </w:tc>
        <w:tc>
          <w:tcPr>
            <w:tcW w:w="3260" w:type="dxa"/>
            <w:gridSpan w:val="2"/>
          </w:tcPr>
          <w:p w14:paraId="774D95A9"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Singapore</w:t>
            </w:r>
          </w:p>
        </w:tc>
      </w:tr>
      <w:tr w:rsidR="0098261F" w:rsidRPr="008917BB" w14:paraId="015151D1"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301"/>
        </w:trPr>
        <w:tc>
          <w:tcPr>
            <w:cnfStyle w:val="001000000000" w:firstRow="0" w:lastRow="0" w:firstColumn="1" w:lastColumn="0" w:oddVBand="0" w:evenVBand="0" w:oddHBand="0" w:evenHBand="0" w:firstRowFirstColumn="0" w:firstRowLastColumn="0" w:lastRowFirstColumn="0" w:lastRowLastColumn="0"/>
            <w:tcW w:w="2283" w:type="dxa"/>
            <w:gridSpan w:val="3"/>
          </w:tcPr>
          <w:p w14:paraId="434A85FD" w14:textId="77777777" w:rsidR="0098261F" w:rsidRPr="008917BB" w:rsidRDefault="0098261F" w:rsidP="008046FF">
            <w:pPr>
              <w:pStyle w:val="TableCell"/>
              <w:jc w:val="left"/>
              <w:rPr>
                <w:lang w:eastAsia="en-GB"/>
              </w:rPr>
            </w:pPr>
            <w:r w:rsidRPr="008917BB">
              <w:rPr>
                <w:lang w:eastAsia="en-GB"/>
              </w:rPr>
              <w:t>Adi Comeriner Peled</w:t>
            </w:r>
          </w:p>
        </w:tc>
        <w:tc>
          <w:tcPr>
            <w:tcW w:w="3408" w:type="dxa"/>
          </w:tcPr>
          <w:p w14:paraId="1D031341"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M</w:t>
            </w:r>
            <w:r>
              <w:rPr>
                <w:lang w:eastAsia="en-GB"/>
              </w:rPr>
              <w:t xml:space="preserve">inistry of </w:t>
            </w:r>
            <w:r w:rsidRPr="008917BB">
              <w:rPr>
                <w:lang w:eastAsia="en-GB"/>
              </w:rPr>
              <w:t>Justice</w:t>
            </w:r>
          </w:p>
        </w:tc>
        <w:tc>
          <w:tcPr>
            <w:tcW w:w="3260" w:type="dxa"/>
            <w:gridSpan w:val="2"/>
          </w:tcPr>
          <w:p w14:paraId="1A065E03"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Israel</w:t>
            </w:r>
          </w:p>
        </w:tc>
      </w:tr>
      <w:tr w:rsidR="0098261F" w:rsidRPr="008917BB" w14:paraId="2DD6480F"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61"/>
        </w:trPr>
        <w:tc>
          <w:tcPr>
            <w:cnfStyle w:val="001000000000" w:firstRow="0" w:lastRow="0" w:firstColumn="1" w:lastColumn="0" w:oddVBand="0" w:evenVBand="0" w:oddHBand="0" w:evenHBand="0" w:firstRowFirstColumn="0" w:firstRowLastColumn="0" w:lastRowFirstColumn="0" w:lastRowLastColumn="0"/>
            <w:tcW w:w="2283" w:type="dxa"/>
            <w:gridSpan w:val="3"/>
          </w:tcPr>
          <w:p w14:paraId="27BC5F4C" w14:textId="77777777" w:rsidR="0098261F" w:rsidRPr="008917BB" w:rsidRDefault="0098261F" w:rsidP="008046FF">
            <w:pPr>
              <w:pStyle w:val="TableCell"/>
              <w:jc w:val="left"/>
              <w:rPr>
                <w:lang w:eastAsia="en-GB"/>
              </w:rPr>
            </w:pPr>
            <w:r w:rsidRPr="008917BB">
              <w:rPr>
                <w:lang w:eastAsia="en-GB"/>
              </w:rPr>
              <w:t>Richard Walker</w:t>
            </w:r>
          </w:p>
        </w:tc>
        <w:tc>
          <w:tcPr>
            <w:tcW w:w="3408" w:type="dxa"/>
          </w:tcPr>
          <w:p w14:paraId="00A0AC13"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Financial Crime and Regulatory Policy, Policy &amp; Resources Committee</w:t>
            </w:r>
          </w:p>
        </w:tc>
        <w:tc>
          <w:tcPr>
            <w:tcW w:w="3260" w:type="dxa"/>
            <w:gridSpan w:val="2"/>
          </w:tcPr>
          <w:p w14:paraId="2EF5FC21"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Guernsey</w:t>
            </w:r>
          </w:p>
        </w:tc>
      </w:tr>
      <w:tr w:rsidR="0098261F" w:rsidRPr="008917BB" w14:paraId="55294EBA"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300"/>
        </w:trPr>
        <w:tc>
          <w:tcPr>
            <w:cnfStyle w:val="001000000000" w:firstRow="0" w:lastRow="0" w:firstColumn="1" w:lastColumn="0" w:oddVBand="0" w:evenVBand="0" w:oddHBand="0" w:evenHBand="0" w:firstRowFirstColumn="0" w:firstRowLastColumn="0" w:lastRowFirstColumn="0" w:lastRowLastColumn="0"/>
            <w:tcW w:w="2283" w:type="dxa"/>
            <w:gridSpan w:val="3"/>
          </w:tcPr>
          <w:p w14:paraId="1097286A" w14:textId="77777777" w:rsidR="0098261F" w:rsidRPr="008917BB" w:rsidRDefault="0098261F" w:rsidP="008046FF">
            <w:pPr>
              <w:pStyle w:val="TableCell"/>
              <w:jc w:val="left"/>
              <w:rPr>
                <w:lang w:eastAsia="en-GB"/>
              </w:rPr>
            </w:pPr>
            <w:r w:rsidRPr="008917BB">
              <w:rPr>
                <w:lang w:eastAsia="en-GB"/>
              </w:rPr>
              <w:t>Selda van Goor</w:t>
            </w:r>
          </w:p>
        </w:tc>
        <w:tc>
          <w:tcPr>
            <w:tcW w:w="3408" w:type="dxa"/>
          </w:tcPr>
          <w:p w14:paraId="11F6307E"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Central Bank</w:t>
            </w:r>
            <w:r>
              <w:rPr>
                <w:lang w:eastAsia="en-GB"/>
              </w:rPr>
              <w:t xml:space="preserve"> of Netherlands</w:t>
            </w:r>
          </w:p>
        </w:tc>
        <w:tc>
          <w:tcPr>
            <w:tcW w:w="3260" w:type="dxa"/>
            <w:gridSpan w:val="2"/>
          </w:tcPr>
          <w:p w14:paraId="2CAF1E47"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Netherlands</w:t>
            </w:r>
          </w:p>
        </w:tc>
      </w:tr>
      <w:tr w:rsidR="0098261F" w:rsidRPr="008917BB" w14:paraId="0A2A1C02"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300"/>
        </w:trPr>
        <w:tc>
          <w:tcPr>
            <w:cnfStyle w:val="001000000000" w:firstRow="0" w:lastRow="0" w:firstColumn="1" w:lastColumn="0" w:oddVBand="0" w:evenVBand="0" w:oddHBand="0" w:evenHBand="0" w:firstRowFirstColumn="0" w:firstRowLastColumn="0" w:lastRowFirstColumn="0" w:lastRowLastColumn="0"/>
            <w:tcW w:w="2283" w:type="dxa"/>
            <w:gridSpan w:val="3"/>
          </w:tcPr>
          <w:p w14:paraId="2CBE139B" w14:textId="77777777" w:rsidR="0098261F" w:rsidRPr="008917BB" w:rsidRDefault="0098261F" w:rsidP="008046FF">
            <w:pPr>
              <w:pStyle w:val="TableCell"/>
              <w:jc w:val="left"/>
              <w:rPr>
                <w:lang w:eastAsia="en-GB"/>
              </w:rPr>
            </w:pPr>
            <w:r w:rsidRPr="008917BB">
              <w:rPr>
                <w:lang w:eastAsia="en-GB"/>
              </w:rPr>
              <w:t>Natalie Limbasan</w:t>
            </w:r>
          </w:p>
        </w:tc>
        <w:tc>
          <w:tcPr>
            <w:tcW w:w="3408" w:type="dxa"/>
          </w:tcPr>
          <w:p w14:paraId="1302F994"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Pr>
                <w:lang w:eastAsia="en-GB"/>
              </w:rPr>
              <w:t>Legal Department</w:t>
            </w:r>
          </w:p>
        </w:tc>
        <w:tc>
          <w:tcPr>
            <w:tcW w:w="3260" w:type="dxa"/>
            <w:gridSpan w:val="2"/>
          </w:tcPr>
          <w:p w14:paraId="742D5531"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OECD</w:t>
            </w:r>
          </w:p>
        </w:tc>
      </w:tr>
      <w:tr w:rsidR="0098261F" w:rsidRPr="008917BB" w14:paraId="1D36ABB7" w14:textId="77777777" w:rsidTr="008046FF">
        <w:trPr>
          <w:gridAfter w:val="1"/>
          <w:cnfStyle w:val="000000100000" w:firstRow="0" w:lastRow="0" w:firstColumn="0" w:lastColumn="0" w:oddVBand="0" w:evenVBand="0" w:oddHBand="1" w:evenHBand="0" w:firstRowFirstColumn="0" w:firstRowLastColumn="0" w:lastRowFirstColumn="0" w:lastRowLastColumn="0"/>
          <w:wAfter w:w="6" w:type="dxa"/>
          <w:trHeight w:val="255"/>
        </w:trPr>
        <w:tc>
          <w:tcPr>
            <w:cnfStyle w:val="001000000000" w:firstRow="0" w:lastRow="0" w:firstColumn="1" w:lastColumn="0" w:oddVBand="0" w:evenVBand="0" w:oddHBand="0" w:evenHBand="0" w:firstRowFirstColumn="0" w:firstRowLastColumn="0" w:lastRowFirstColumn="0" w:lastRowLastColumn="0"/>
            <w:tcW w:w="2283" w:type="dxa"/>
            <w:gridSpan w:val="3"/>
            <w:tcBorders>
              <w:bottom w:val="single" w:sz="4" w:space="0" w:color="auto"/>
            </w:tcBorders>
            <w:noWrap/>
          </w:tcPr>
          <w:p w14:paraId="0C813F16" w14:textId="77777777" w:rsidR="0098261F" w:rsidRPr="008917BB" w:rsidRDefault="0098261F" w:rsidP="0098261F">
            <w:pPr>
              <w:rPr>
                <w:rFonts w:ascii="Arial" w:eastAsia="Times New Roman" w:hAnsi="Arial" w:cs="Arial"/>
                <w:color w:val="000000"/>
                <w:sz w:val="20"/>
                <w:lang w:eastAsia="en-GB"/>
              </w:rPr>
            </w:pPr>
          </w:p>
        </w:tc>
        <w:tc>
          <w:tcPr>
            <w:tcW w:w="3408" w:type="dxa"/>
            <w:tcBorders>
              <w:bottom w:val="single" w:sz="4" w:space="0" w:color="auto"/>
            </w:tcBorders>
            <w:noWrap/>
          </w:tcPr>
          <w:p w14:paraId="555DF7F9" w14:textId="77777777" w:rsidR="0098261F" w:rsidRPr="008917BB" w:rsidRDefault="0098261F" w:rsidP="0098261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lang w:eastAsia="en-GB"/>
              </w:rPr>
            </w:pPr>
          </w:p>
        </w:tc>
        <w:tc>
          <w:tcPr>
            <w:tcW w:w="3260" w:type="dxa"/>
            <w:gridSpan w:val="2"/>
            <w:tcBorders>
              <w:bottom w:val="single" w:sz="4" w:space="0" w:color="auto"/>
            </w:tcBorders>
            <w:noWrap/>
            <w:hideMark/>
          </w:tcPr>
          <w:p w14:paraId="10FEE227" w14:textId="77777777" w:rsidR="0098261F" w:rsidRPr="008917BB" w:rsidRDefault="0098261F" w:rsidP="0098261F">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lang w:eastAsia="en-GB"/>
              </w:rPr>
            </w:pPr>
          </w:p>
        </w:tc>
      </w:tr>
      <w:tr w:rsidR="0098261F" w:rsidRPr="008917BB" w14:paraId="0E9B124C" w14:textId="77777777" w:rsidTr="008046FF">
        <w:trPr>
          <w:gridAfter w:val="1"/>
          <w:cnfStyle w:val="000000010000" w:firstRow="0" w:lastRow="0" w:firstColumn="0" w:lastColumn="0" w:oddVBand="0" w:evenVBand="0" w:oddHBand="0" w:evenHBand="1"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283" w:type="dxa"/>
            <w:gridSpan w:val="3"/>
            <w:tcBorders>
              <w:top w:val="single" w:sz="4" w:space="0" w:color="auto"/>
            </w:tcBorders>
            <w:noWrap/>
            <w:hideMark/>
          </w:tcPr>
          <w:p w14:paraId="55665223" w14:textId="1FF0AA11" w:rsidR="0098261F" w:rsidRPr="008046FF" w:rsidRDefault="0098261F" w:rsidP="008046FF">
            <w:pPr>
              <w:pStyle w:val="TableColumn"/>
              <w:rPr>
                <w:b/>
                <w:sz w:val="20"/>
                <w:lang w:eastAsia="en-GB"/>
              </w:rPr>
            </w:pPr>
          </w:p>
        </w:tc>
        <w:tc>
          <w:tcPr>
            <w:tcW w:w="3408" w:type="dxa"/>
            <w:tcBorders>
              <w:top w:val="single" w:sz="4" w:space="0" w:color="auto"/>
            </w:tcBorders>
            <w:noWrap/>
            <w:hideMark/>
          </w:tcPr>
          <w:p w14:paraId="5169ED91" w14:textId="3A2C196A" w:rsidR="0098261F" w:rsidRPr="008046FF" w:rsidRDefault="008046FF" w:rsidP="008046FF">
            <w:pPr>
              <w:pStyle w:val="TableColumn"/>
              <w:cnfStyle w:val="000000010000" w:firstRow="0" w:lastRow="0" w:firstColumn="0" w:lastColumn="0" w:oddVBand="0" w:evenVBand="0" w:oddHBand="0" w:evenHBand="1" w:firstRowFirstColumn="0" w:firstRowLastColumn="0" w:lastRowFirstColumn="0" w:lastRowLastColumn="0"/>
              <w:rPr>
                <w:rFonts w:ascii="Arial" w:hAnsi="Arial"/>
                <w:b/>
                <w:sz w:val="20"/>
                <w:lang w:eastAsia="en-GB"/>
              </w:rPr>
            </w:pPr>
            <w:r w:rsidRPr="008046FF">
              <w:rPr>
                <w:b/>
                <w:bCs/>
                <w:sz w:val="20"/>
                <w:lang w:eastAsia="en-GB"/>
              </w:rPr>
              <w:t>Accountants</w:t>
            </w:r>
          </w:p>
        </w:tc>
        <w:tc>
          <w:tcPr>
            <w:tcW w:w="3260" w:type="dxa"/>
            <w:gridSpan w:val="2"/>
            <w:tcBorders>
              <w:top w:val="single" w:sz="4" w:space="0" w:color="auto"/>
            </w:tcBorders>
            <w:noWrap/>
            <w:hideMark/>
          </w:tcPr>
          <w:p w14:paraId="67CBC03F" w14:textId="77777777" w:rsidR="0098261F" w:rsidRPr="008046FF" w:rsidRDefault="0098261F" w:rsidP="008046FF">
            <w:pPr>
              <w:pStyle w:val="TableColumn"/>
              <w:cnfStyle w:val="000000010000" w:firstRow="0" w:lastRow="0" w:firstColumn="0" w:lastColumn="0" w:oddVBand="0" w:evenVBand="0" w:oddHBand="0" w:evenHBand="1" w:firstRowFirstColumn="0" w:firstRowLastColumn="0" w:lastRowFirstColumn="0" w:lastRowLastColumn="0"/>
              <w:rPr>
                <w:rFonts w:ascii="Arial" w:hAnsi="Arial"/>
                <w:b/>
                <w:sz w:val="20"/>
                <w:lang w:eastAsia="en-GB"/>
              </w:rPr>
            </w:pPr>
          </w:p>
        </w:tc>
      </w:tr>
      <w:tr w:rsidR="0098261F" w:rsidRPr="008917BB" w14:paraId="2FF39E90" w14:textId="77777777" w:rsidTr="008046FF">
        <w:trPr>
          <w:gridAfter w:val="1"/>
          <w:cnfStyle w:val="000000100000" w:firstRow="0" w:lastRow="0" w:firstColumn="0" w:lastColumn="0" w:oddVBand="0" w:evenVBand="0" w:oddHBand="1" w:evenHBand="0"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283" w:type="dxa"/>
            <w:gridSpan w:val="3"/>
            <w:tcBorders>
              <w:bottom w:val="single" w:sz="4" w:space="0" w:color="auto"/>
            </w:tcBorders>
          </w:tcPr>
          <w:p w14:paraId="6E19A62E" w14:textId="77777777" w:rsidR="0098261F" w:rsidRPr="008046FF" w:rsidRDefault="0098261F" w:rsidP="008046FF">
            <w:pPr>
              <w:pStyle w:val="TableColumn"/>
              <w:rPr>
                <w:b/>
                <w:sz w:val="20"/>
                <w:lang w:eastAsia="en-GB"/>
              </w:rPr>
            </w:pPr>
            <w:r w:rsidRPr="008046FF">
              <w:rPr>
                <w:b/>
                <w:sz w:val="20"/>
                <w:lang w:eastAsia="en-GB"/>
              </w:rPr>
              <w:t>Member</w:t>
            </w:r>
          </w:p>
        </w:tc>
        <w:tc>
          <w:tcPr>
            <w:tcW w:w="3408" w:type="dxa"/>
            <w:tcBorders>
              <w:bottom w:val="single" w:sz="4" w:space="0" w:color="auto"/>
            </w:tcBorders>
          </w:tcPr>
          <w:p w14:paraId="690911DE" w14:textId="77777777" w:rsidR="0098261F" w:rsidRPr="008046FF" w:rsidRDefault="0098261F" w:rsidP="008046FF">
            <w:pPr>
              <w:pStyle w:val="TableColumn"/>
              <w:cnfStyle w:val="000000100000" w:firstRow="0" w:lastRow="0" w:firstColumn="0" w:lastColumn="0" w:oddVBand="0" w:evenVBand="0" w:oddHBand="1" w:evenHBand="0" w:firstRowFirstColumn="0" w:firstRowLastColumn="0" w:lastRowFirstColumn="0" w:lastRowLastColumn="0"/>
              <w:rPr>
                <w:b/>
                <w:bCs/>
                <w:sz w:val="20"/>
                <w:lang w:eastAsia="en-GB"/>
              </w:rPr>
            </w:pPr>
            <w:r w:rsidRPr="008046FF">
              <w:rPr>
                <w:b/>
                <w:bCs/>
                <w:sz w:val="20"/>
                <w:lang w:eastAsia="en-GB"/>
              </w:rPr>
              <w:t>Office</w:t>
            </w:r>
          </w:p>
        </w:tc>
        <w:tc>
          <w:tcPr>
            <w:tcW w:w="3260" w:type="dxa"/>
            <w:gridSpan w:val="2"/>
            <w:tcBorders>
              <w:bottom w:val="single" w:sz="4" w:space="0" w:color="auto"/>
            </w:tcBorders>
          </w:tcPr>
          <w:p w14:paraId="1BFF65DD" w14:textId="77777777" w:rsidR="0098261F" w:rsidRPr="008046FF" w:rsidRDefault="0098261F" w:rsidP="008046FF">
            <w:pPr>
              <w:pStyle w:val="TableColumn"/>
              <w:cnfStyle w:val="000000100000" w:firstRow="0" w:lastRow="0" w:firstColumn="0" w:lastColumn="0" w:oddVBand="0" w:evenVBand="0" w:oddHBand="1" w:evenHBand="0" w:firstRowFirstColumn="0" w:firstRowLastColumn="0" w:lastRowFirstColumn="0" w:lastRowLastColumn="0"/>
              <w:rPr>
                <w:b/>
                <w:bCs/>
                <w:sz w:val="20"/>
                <w:lang w:eastAsia="en-GB"/>
              </w:rPr>
            </w:pPr>
            <w:r w:rsidRPr="008046FF">
              <w:rPr>
                <w:b/>
                <w:bCs/>
                <w:sz w:val="20"/>
                <w:lang w:eastAsia="en-GB"/>
              </w:rPr>
              <w:t>Institution</w:t>
            </w:r>
          </w:p>
        </w:tc>
      </w:tr>
      <w:tr w:rsidR="0098261F" w:rsidRPr="008917BB" w14:paraId="5CB6A2DE" w14:textId="77777777" w:rsidTr="008046FF">
        <w:trPr>
          <w:gridAfter w:val="1"/>
          <w:cnfStyle w:val="000000010000" w:firstRow="0" w:lastRow="0" w:firstColumn="0" w:lastColumn="0" w:oddVBand="0" w:evenVBand="0" w:oddHBand="0" w:evenHBand="1"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283" w:type="dxa"/>
            <w:gridSpan w:val="3"/>
            <w:tcBorders>
              <w:top w:val="single" w:sz="4" w:space="0" w:color="auto"/>
            </w:tcBorders>
          </w:tcPr>
          <w:p w14:paraId="3016B488" w14:textId="77777777" w:rsidR="0098261F" w:rsidRDefault="0098261F" w:rsidP="008046FF">
            <w:pPr>
              <w:pStyle w:val="TableCell"/>
              <w:jc w:val="left"/>
              <w:rPr>
                <w:b/>
                <w:bCs w:val="0"/>
                <w:lang w:eastAsia="en-GB"/>
              </w:rPr>
            </w:pPr>
            <w:r w:rsidRPr="008917BB">
              <w:rPr>
                <w:lang w:eastAsia="en-GB"/>
              </w:rPr>
              <w:t>Michelle Giddings</w:t>
            </w:r>
            <w:r>
              <w:rPr>
                <w:lang w:eastAsia="en-GB"/>
              </w:rPr>
              <w:t xml:space="preserve"> </w:t>
            </w:r>
            <w:r w:rsidRPr="005C4F39">
              <w:rPr>
                <w:lang w:eastAsia="en-GB"/>
              </w:rPr>
              <w:t>(Co-chair)</w:t>
            </w:r>
          </w:p>
        </w:tc>
        <w:tc>
          <w:tcPr>
            <w:tcW w:w="3408" w:type="dxa"/>
            <w:tcBorders>
              <w:top w:val="single" w:sz="4" w:space="0" w:color="auto"/>
            </w:tcBorders>
          </w:tcPr>
          <w:p w14:paraId="7218A46A" w14:textId="77777777" w:rsidR="0098261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b/>
                <w:lang w:eastAsia="en-GB"/>
              </w:rPr>
            </w:pPr>
            <w:r>
              <w:rPr>
                <w:lang w:eastAsia="en-GB"/>
              </w:rPr>
              <w:t>Professional Standards</w:t>
            </w:r>
          </w:p>
        </w:tc>
        <w:tc>
          <w:tcPr>
            <w:tcW w:w="3260" w:type="dxa"/>
            <w:gridSpan w:val="2"/>
            <w:tcBorders>
              <w:top w:val="single" w:sz="4" w:space="0" w:color="auto"/>
            </w:tcBorders>
          </w:tcPr>
          <w:p w14:paraId="36685CA3" w14:textId="77777777" w:rsidR="0098261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b/>
                <w:lang w:eastAsia="en-GB"/>
              </w:rPr>
            </w:pPr>
            <w:r>
              <w:t>Institute of Chartered Accountants of England &amp; Wales</w:t>
            </w:r>
          </w:p>
        </w:tc>
      </w:tr>
      <w:tr w:rsidR="0098261F" w:rsidRPr="008917BB" w14:paraId="7491676C"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268"/>
        </w:trPr>
        <w:tc>
          <w:tcPr>
            <w:cnfStyle w:val="001000000000" w:firstRow="0" w:lastRow="0" w:firstColumn="1" w:lastColumn="0" w:oddVBand="0" w:evenVBand="0" w:oddHBand="0" w:evenHBand="0" w:firstRowFirstColumn="0" w:firstRowLastColumn="0" w:lastRowFirstColumn="0" w:lastRowLastColumn="0"/>
            <w:tcW w:w="2283" w:type="dxa"/>
            <w:gridSpan w:val="3"/>
          </w:tcPr>
          <w:p w14:paraId="65930DB1" w14:textId="77777777" w:rsidR="0098261F" w:rsidRPr="008917BB" w:rsidRDefault="0098261F" w:rsidP="008046FF">
            <w:pPr>
              <w:pStyle w:val="TableCell"/>
              <w:jc w:val="left"/>
              <w:rPr>
                <w:lang w:eastAsia="en-GB"/>
              </w:rPr>
            </w:pPr>
            <w:r w:rsidRPr="008917BB">
              <w:rPr>
                <w:lang w:eastAsia="en-GB"/>
              </w:rPr>
              <w:t>Amir Ghandar</w:t>
            </w:r>
          </w:p>
        </w:tc>
        <w:tc>
          <w:tcPr>
            <w:tcW w:w="3408" w:type="dxa"/>
          </w:tcPr>
          <w:p w14:paraId="5581207B"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Public Policy &amp; Regulation</w:t>
            </w:r>
          </w:p>
        </w:tc>
        <w:tc>
          <w:tcPr>
            <w:tcW w:w="3260" w:type="dxa"/>
            <w:gridSpan w:val="2"/>
          </w:tcPr>
          <w:p w14:paraId="55C7FF13"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sidRPr="008917BB">
              <w:rPr>
                <w:lang w:eastAsia="en-GB"/>
              </w:rPr>
              <w:t>International Federation of Accountants</w:t>
            </w:r>
          </w:p>
        </w:tc>
      </w:tr>
      <w:tr w:rsidR="0098261F" w:rsidRPr="008917BB" w14:paraId="27E70841" w14:textId="77777777" w:rsidTr="008046FF">
        <w:trPr>
          <w:gridAfter w:val="1"/>
          <w:cnfStyle w:val="000000010000" w:firstRow="0" w:lastRow="0" w:firstColumn="0" w:lastColumn="0" w:oddVBand="0" w:evenVBand="0" w:oddHBand="0" w:evenHBand="1" w:firstRowFirstColumn="0" w:firstRowLastColumn="0" w:lastRowFirstColumn="0" w:lastRowLastColumn="0"/>
          <w:wAfter w:w="6" w:type="dxa"/>
          <w:trHeight w:val="255"/>
        </w:trPr>
        <w:tc>
          <w:tcPr>
            <w:cnfStyle w:val="001000000000" w:firstRow="0" w:lastRow="0" w:firstColumn="1" w:lastColumn="0" w:oddVBand="0" w:evenVBand="0" w:oddHBand="0" w:evenHBand="0" w:firstRowFirstColumn="0" w:firstRowLastColumn="0" w:lastRowFirstColumn="0" w:lastRowLastColumn="0"/>
            <w:tcW w:w="2283" w:type="dxa"/>
            <w:gridSpan w:val="3"/>
            <w:tcBorders>
              <w:bottom w:val="single" w:sz="4" w:space="0" w:color="auto"/>
            </w:tcBorders>
            <w:noWrap/>
            <w:hideMark/>
          </w:tcPr>
          <w:p w14:paraId="4CE7EBF8" w14:textId="77777777" w:rsidR="0098261F" w:rsidRPr="008917BB" w:rsidRDefault="0098261F" w:rsidP="0098261F">
            <w:pPr>
              <w:rPr>
                <w:rFonts w:ascii="Arial" w:eastAsia="Times New Roman" w:hAnsi="Arial" w:cs="Arial"/>
                <w:color w:val="000000"/>
                <w:sz w:val="20"/>
                <w:lang w:eastAsia="en-GB"/>
              </w:rPr>
            </w:pPr>
          </w:p>
        </w:tc>
        <w:tc>
          <w:tcPr>
            <w:tcW w:w="3408" w:type="dxa"/>
            <w:tcBorders>
              <w:bottom w:val="single" w:sz="4" w:space="0" w:color="auto"/>
            </w:tcBorders>
            <w:noWrap/>
            <w:hideMark/>
          </w:tcPr>
          <w:p w14:paraId="78546EC5" w14:textId="77777777" w:rsidR="0098261F" w:rsidRPr="008917BB" w:rsidRDefault="0098261F" w:rsidP="0098261F">
            <w:pP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sz w:val="20"/>
                <w:lang w:eastAsia="en-GB"/>
              </w:rPr>
            </w:pPr>
          </w:p>
        </w:tc>
        <w:tc>
          <w:tcPr>
            <w:tcW w:w="3260" w:type="dxa"/>
            <w:gridSpan w:val="2"/>
            <w:tcBorders>
              <w:bottom w:val="single" w:sz="4" w:space="0" w:color="auto"/>
            </w:tcBorders>
            <w:noWrap/>
            <w:hideMark/>
          </w:tcPr>
          <w:p w14:paraId="5A2A6810" w14:textId="77777777" w:rsidR="0098261F" w:rsidRPr="008917BB" w:rsidRDefault="0098261F" w:rsidP="0098261F">
            <w:pPr>
              <w:cnfStyle w:val="000000010000" w:firstRow="0" w:lastRow="0" w:firstColumn="0" w:lastColumn="0" w:oddVBand="0" w:evenVBand="0" w:oddHBand="0" w:evenHBand="1" w:firstRowFirstColumn="0" w:firstRowLastColumn="0" w:lastRowFirstColumn="0" w:lastRowLastColumn="0"/>
              <w:rPr>
                <w:rFonts w:ascii="Arial" w:eastAsia="Times New Roman" w:hAnsi="Arial" w:cs="Arial"/>
                <w:color w:val="000000"/>
                <w:sz w:val="20"/>
                <w:lang w:eastAsia="en-GB"/>
              </w:rPr>
            </w:pPr>
          </w:p>
        </w:tc>
      </w:tr>
      <w:tr w:rsidR="0098261F" w:rsidRPr="008917BB" w14:paraId="58B25B7C" w14:textId="77777777" w:rsidTr="008046FF">
        <w:trPr>
          <w:gridAfter w:val="1"/>
          <w:cnfStyle w:val="000000100000" w:firstRow="0" w:lastRow="0" w:firstColumn="0" w:lastColumn="0" w:oddVBand="0" w:evenVBand="0" w:oddHBand="1" w:evenHBand="0"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8951" w:type="dxa"/>
            <w:gridSpan w:val="6"/>
            <w:tcBorders>
              <w:top w:val="single" w:sz="4" w:space="0" w:color="auto"/>
            </w:tcBorders>
            <w:noWrap/>
            <w:hideMark/>
          </w:tcPr>
          <w:p w14:paraId="25AC291F" w14:textId="1506B8B8" w:rsidR="0098261F" w:rsidRPr="008046FF" w:rsidRDefault="00A1312F" w:rsidP="008046FF">
            <w:pPr>
              <w:pStyle w:val="TableColumn"/>
              <w:rPr>
                <w:b/>
                <w:sz w:val="20"/>
                <w:lang w:eastAsia="en-GB"/>
              </w:rPr>
            </w:pPr>
            <w:r w:rsidRPr="008046FF">
              <w:rPr>
                <w:b/>
                <w:sz w:val="20"/>
                <w:lang w:eastAsia="en-GB"/>
              </w:rPr>
              <w:t>Legal professionals</w:t>
            </w:r>
            <w:r w:rsidR="0098261F" w:rsidRPr="008046FF">
              <w:rPr>
                <w:b/>
                <w:sz w:val="20"/>
                <w:lang w:eastAsia="en-GB"/>
              </w:rPr>
              <w:t xml:space="preserve"> and Notaries</w:t>
            </w:r>
          </w:p>
        </w:tc>
      </w:tr>
      <w:tr w:rsidR="0098261F" w:rsidRPr="008917BB" w14:paraId="563DBE7D" w14:textId="77777777" w:rsidTr="008046F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gridSpan w:val="2"/>
            <w:tcBorders>
              <w:bottom w:val="single" w:sz="4" w:space="0" w:color="auto"/>
            </w:tcBorders>
          </w:tcPr>
          <w:p w14:paraId="4D6C79FD" w14:textId="77777777" w:rsidR="0098261F" w:rsidRPr="008046FF" w:rsidRDefault="0098261F" w:rsidP="008046FF">
            <w:pPr>
              <w:pStyle w:val="TableColumn"/>
              <w:rPr>
                <w:b/>
                <w:sz w:val="20"/>
                <w:lang w:eastAsia="en-GB"/>
              </w:rPr>
            </w:pPr>
            <w:r w:rsidRPr="008046FF">
              <w:rPr>
                <w:b/>
                <w:sz w:val="20"/>
                <w:lang w:eastAsia="en-GB"/>
              </w:rPr>
              <w:t>Member</w:t>
            </w:r>
          </w:p>
        </w:tc>
        <w:tc>
          <w:tcPr>
            <w:tcW w:w="3458" w:type="dxa"/>
            <w:gridSpan w:val="3"/>
            <w:tcBorders>
              <w:bottom w:val="single" w:sz="4" w:space="0" w:color="auto"/>
            </w:tcBorders>
            <w:hideMark/>
          </w:tcPr>
          <w:p w14:paraId="5590C5DC" w14:textId="77777777" w:rsidR="0098261F" w:rsidRPr="008046FF" w:rsidRDefault="0098261F" w:rsidP="008046FF">
            <w:pPr>
              <w:pStyle w:val="TableColumn"/>
              <w:cnfStyle w:val="000000010000" w:firstRow="0" w:lastRow="0" w:firstColumn="0" w:lastColumn="0" w:oddVBand="0" w:evenVBand="0" w:oddHBand="0" w:evenHBand="1" w:firstRowFirstColumn="0" w:firstRowLastColumn="0" w:lastRowFirstColumn="0" w:lastRowLastColumn="0"/>
              <w:rPr>
                <w:b/>
                <w:bCs/>
                <w:sz w:val="20"/>
                <w:lang w:eastAsia="en-GB"/>
              </w:rPr>
            </w:pPr>
            <w:r w:rsidRPr="008046FF">
              <w:rPr>
                <w:b/>
                <w:bCs/>
                <w:sz w:val="20"/>
                <w:lang w:eastAsia="en-GB"/>
              </w:rPr>
              <w:t>Office</w:t>
            </w:r>
          </w:p>
        </w:tc>
        <w:tc>
          <w:tcPr>
            <w:tcW w:w="3231" w:type="dxa"/>
            <w:gridSpan w:val="2"/>
            <w:tcBorders>
              <w:bottom w:val="single" w:sz="4" w:space="0" w:color="auto"/>
            </w:tcBorders>
            <w:hideMark/>
          </w:tcPr>
          <w:p w14:paraId="2E0378CB" w14:textId="77777777" w:rsidR="0098261F" w:rsidRPr="008046FF" w:rsidRDefault="0098261F" w:rsidP="008046FF">
            <w:pPr>
              <w:pStyle w:val="TableColumn"/>
              <w:cnfStyle w:val="000000010000" w:firstRow="0" w:lastRow="0" w:firstColumn="0" w:lastColumn="0" w:oddVBand="0" w:evenVBand="0" w:oddHBand="0" w:evenHBand="1" w:firstRowFirstColumn="0" w:firstRowLastColumn="0" w:lastRowFirstColumn="0" w:lastRowLastColumn="0"/>
              <w:rPr>
                <w:b/>
                <w:bCs/>
                <w:sz w:val="20"/>
                <w:lang w:eastAsia="en-GB"/>
              </w:rPr>
            </w:pPr>
            <w:r w:rsidRPr="008046FF">
              <w:rPr>
                <w:b/>
                <w:bCs/>
                <w:sz w:val="20"/>
                <w:lang w:eastAsia="en-GB"/>
              </w:rPr>
              <w:t>Institution</w:t>
            </w:r>
          </w:p>
        </w:tc>
      </w:tr>
      <w:tr w:rsidR="0098261F" w:rsidRPr="008917BB" w14:paraId="3C006E07" w14:textId="77777777" w:rsidTr="008046FF">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268" w:type="dxa"/>
            <w:gridSpan w:val="2"/>
            <w:tcBorders>
              <w:top w:val="single" w:sz="4" w:space="0" w:color="auto"/>
            </w:tcBorders>
          </w:tcPr>
          <w:p w14:paraId="19C1AAD6" w14:textId="77777777" w:rsidR="0098261F" w:rsidRPr="008046FF" w:rsidRDefault="0098261F" w:rsidP="008046FF">
            <w:pPr>
              <w:pStyle w:val="TableCell"/>
              <w:jc w:val="left"/>
            </w:pPr>
            <w:r w:rsidRPr="008046FF">
              <w:t xml:space="preserve">Stephen </w:t>
            </w:r>
            <w:r w:rsidRPr="005C4F39">
              <w:t>Revell (Co-chair)</w:t>
            </w:r>
          </w:p>
        </w:tc>
        <w:tc>
          <w:tcPr>
            <w:tcW w:w="3458" w:type="dxa"/>
            <w:gridSpan w:val="3"/>
            <w:tcBorders>
              <w:top w:val="single" w:sz="4" w:space="0" w:color="auto"/>
            </w:tcBorders>
          </w:tcPr>
          <w:p w14:paraId="35C39D06"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Freshfields Bruckhaus Deringer</w:t>
            </w:r>
          </w:p>
        </w:tc>
        <w:tc>
          <w:tcPr>
            <w:tcW w:w="3231" w:type="dxa"/>
            <w:gridSpan w:val="2"/>
            <w:tcBorders>
              <w:top w:val="single" w:sz="4" w:space="0" w:color="auto"/>
            </w:tcBorders>
          </w:tcPr>
          <w:p w14:paraId="2C6BBB62"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International Bar Association</w:t>
            </w:r>
          </w:p>
        </w:tc>
      </w:tr>
      <w:tr w:rsidR="0098261F" w:rsidRPr="008917BB" w14:paraId="127CE97B" w14:textId="77777777" w:rsidTr="008046FF">
        <w:trPr>
          <w:cnfStyle w:val="000000010000" w:firstRow="0" w:lastRow="0" w:firstColumn="0" w:lastColumn="0" w:oddVBand="0" w:evenVBand="0" w:oddHBand="0" w:evenHBand="1"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268" w:type="dxa"/>
            <w:gridSpan w:val="2"/>
          </w:tcPr>
          <w:p w14:paraId="7789CAB2" w14:textId="77777777" w:rsidR="0098261F" w:rsidRPr="008046FF" w:rsidRDefault="0098261F" w:rsidP="008046FF">
            <w:pPr>
              <w:pStyle w:val="TableCell"/>
              <w:jc w:val="left"/>
            </w:pPr>
            <w:r w:rsidRPr="008046FF">
              <w:t>Keily Blair</w:t>
            </w:r>
          </w:p>
        </w:tc>
        <w:tc>
          <w:tcPr>
            <w:tcW w:w="3458" w:type="dxa"/>
            <w:gridSpan w:val="3"/>
          </w:tcPr>
          <w:p w14:paraId="7C320BCA"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Economic Crime, Regulatory Disputes department</w:t>
            </w:r>
          </w:p>
        </w:tc>
        <w:tc>
          <w:tcPr>
            <w:tcW w:w="3231" w:type="dxa"/>
            <w:gridSpan w:val="2"/>
          </w:tcPr>
          <w:p w14:paraId="26FB51C6"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PWC, UK</w:t>
            </w:r>
          </w:p>
        </w:tc>
      </w:tr>
      <w:tr w:rsidR="0098261F" w:rsidRPr="008917BB" w14:paraId="7B3B72C5" w14:textId="77777777" w:rsidTr="008046FF">
        <w:trPr>
          <w:cnfStyle w:val="000000100000" w:firstRow="0" w:lastRow="0" w:firstColumn="0" w:lastColumn="0" w:oddVBand="0" w:evenVBand="0" w:oddHBand="1"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2268" w:type="dxa"/>
            <w:gridSpan w:val="2"/>
          </w:tcPr>
          <w:p w14:paraId="5D15D146" w14:textId="77777777" w:rsidR="0098261F" w:rsidRPr="008046FF" w:rsidRDefault="0098261F" w:rsidP="008046FF">
            <w:pPr>
              <w:pStyle w:val="TableCell"/>
              <w:jc w:val="left"/>
            </w:pPr>
            <w:r w:rsidRPr="008046FF">
              <w:t>Mahmood Lone</w:t>
            </w:r>
          </w:p>
        </w:tc>
        <w:tc>
          <w:tcPr>
            <w:tcW w:w="3458" w:type="dxa"/>
            <w:gridSpan w:val="3"/>
          </w:tcPr>
          <w:p w14:paraId="290A501C"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Regulatory issues and complex cross-border disputes</w:t>
            </w:r>
          </w:p>
        </w:tc>
        <w:tc>
          <w:tcPr>
            <w:tcW w:w="3231" w:type="dxa"/>
            <w:gridSpan w:val="2"/>
          </w:tcPr>
          <w:p w14:paraId="0BB0084F"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Allen &amp; Overy LLP, UK</w:t>
            </w:r>
          </w:p>
        </w:tc>
      </w:tr>
      <w:tr w:rsidR="0098261F" w:rsidRPr="008917BB" w14:paraId="4C802F52" w14:textId="77777777" w:rsidTr="008046FF">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8" w:type="dxa"/>
            <w:gridSpan w:val="2"/>
          </w:tcPr>
          <w:p w14:paraId="32AEF8FC" w14:textId="77777777" w:rsidR="0098261F" w:rsidRPr="008046FF" w:rsidRDefault="0098261F" w:rsidP="008046FF">
            <w:pPr>
              <w:pStyle w:val="TableCell"/>
              <w:jc w:val="left"/>
            </w:pPr>
            <w:r w:rsidRPr="008046FF">
              <w:t>Amy Bell</w:t>
            </w:r>
          </w:p>
        </w:tc>
        <w:tc>
          <w:tcPr>
            <w:tcW w:w="3458" w:type="dxa"/>
            <w:gridSpan w:val="3"/>
          </w:tcPr>
          <w:p w14:paraId="7D92BA7A"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Law Society’s Task Force on ML</w:t>
            </w:r>
          </w:p>
        </w:tc>
        <w:tc>
          <w:tcPr>
            <w:tcW w:w="3231" w:type="dxa"/>
            <w:gridSpan w:val="2"/>
          </w:tcPr>
          <w:p w14:paraId="0108DFD9"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Law Society, UK</w:t>
            </w:r>
          </w:p>
        </w:tc>
      </w:tr>
      <w:tr w:rsidR="0098261F" w:rsidRPr="008917BB" w14:paraId="69D5F13D" w14:textId="77777777" w:rsidTr="008046FF">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2268" w:type="dxa"/>
            <w:gridSpan w:val="2"/>
          </w:tcPr>
          <w:p w14:paraId="6CA42C10" w14:textId="77777777" w:rsidR="0098261F" w:rsidRPr="008046FF" w:rsidRDefault="0098261F" w:rsidP="008046FF">
            <w:pPr>
              <w:pStyle w:val="TableCell"/>
              <w:jc w:val="left"/>
            </w:pPr>
            <w:r w:rsidRPr="008046FF">
              <w:t>William Clark</w:t>
            </w:r>
          </w:p>
        </w:tc>
        <w:tc>
          <w:tcPr>
            <w:tcW w:w="3458" w:type="dxa"/>
            <w:gridSpan w:val="3"/>
          </w:tcPr>
          <w:p w14:paraId="713B4DDB"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ABA’s Task Force on Gatekeeper Regulation and the Profession</w:t>
            </w:r>
          </w:p>
        </w:tc>
        <w:tc>
          <w:tcPr>
            <w:tcW w:w="3231" w:type="dxa"/>
            <w:gridSpan w:val="2"/>
          </w:tcPr>
          <w:p w14:paraId="0B26C811"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American Bar Association (ABA)</w:t>
            </w:r>
          </w:p>
        </w:tc>
      </w:tr>
      <w:tr w:rsidR="0098261F" w:rsidRPr="008917BB" w14:paraId="58F64E45" w14:textId="77777777" w:rsidTr="008046FF">
        <w:trPr>
          <w:cnfStyle w:val="000000010000" w:firstRow="0" w:lastRow="0" w:firstColumn="0" w:lastColumn="0" w:oddVBand="0" w:evenVBand="0" w:oddHBand="0" w:evenHBand="1" w:firstRowFirstColumn="0" w:firstRowLastColumn="0" w:lastRowFirstColumn="0" w:lastRowLastColumn="0"/>
          <w:trHeight w:val="187"/>
        </w:trPr>
        <w:tc>
          <w:tcPr>
            <w:cnfStyle w:val="001000000000" w:firstRow="0" w:lastRow="0" w:firstColumn="1" w:lastColumn="0" w:oddVBand="0" w:evenVBand="0" w:oddHBand="0" w:evenHBand="0" w:firstRowFirstColumn="0" w:firstRowLastColumn="0" w:lastRowFirstColumn="0" w:lastRowLastColumn="0"/>
            <w:tcW w:w="2268" w:type="dxa"/>
            <w:gridSpan w:val="2"/>
          </w:tcPr>
          <w:p w14:paraId="4F94B2C9" w14:textId="77777777" w:rsidR="0098261F" w:rsidRPr="008046FF" w:rsidRDefault="0098261F" w:rsidP="008046FF">
            <w:pPr>
              <w:pStyle w:val="TableCell"/>
              <w:jc w:val="left"/>
            </w:pPr>
            <w:r w:rsidRPr="008046FF">
              <w:t>Didier de Montmollin</w:t>
            </w:r>
          </w:p>
        </w:tc>
        <w:tc>
          <w:tcPr>
            <w:tcW w:w="3458" w:type="dxa"/>
            <w:gridSpan w:val="3"/>
          </w:tcPr>
          <w:p w14:paraId="169BAC01"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Founder</w:t>
            </w:r>
          </w:p>
        </w:tc>
        <w:tc>
          <w:tcPr>
            <w:tcW w:w="3231" w:type="dxa"/>
            <w:gridSpan w:val="2"/>
          </w:tcPr>
          <w:p w14:paraId="6D2253D0"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DGE Avocats, Switzerland</w:t>
            </w:r>
          </w:p>
        </w:tc>
      </w:tr>
      <w:tr w:rsidR="0098261F" w:rsidRPr="008917BB" w14:paraId="0E9C813A" w14:textId="77777777" w:rsidTr="008046FF">
        <w:trPr>
          <w:cnfStyle w:val="000000100000" w:firstRow="0" w:lastRow="0" w:firstColumn="0" w:lastColumn="0" w:oddVBand="0" w:evenVBand="0" w:oddHBand="1" w:evenHBand="0" w:firstRowFirstColumn="0" w:firstRowLastColumn="0" w:lastRowFirstColumn="0" w:lastRowLastColumn="0"/>
          <w:trHeight w:val="437"/>
        </w:trPr>
        <w:tc>
          <w:tcPr>
            <w:cnfStyle w:val="001000000000" w:firstRow="0" w:lastRow="0" w:firstColumn="1" w:lastColumn="0" w:oddVBand="0" w:evenVBand="0" w:oddHBand="0" w:evenHBand="0" w:firstRowFirstColumn="0" w:firstRowLastColumn="0" w:lastRowFirstColumn="0" w:lastRowLastColumn="0"/>
            <w:tcW w:w="2268" w:type="dxa"/>
            <w:gridSpan w:val="2"/>
            <w:vMerge w:val="restart"/>
          </w:tcPr>
          <w:p w14:paraId="7C2582B5" w14:textId="77777777" w:rsidR="0098261F" w:rsidRPr="008046FF" w:rsidRDefault="0098261F" w:rsidP="008046FF">
            <w:pPr>
              <w:pStyle w:val="TableCell"/>
              <w:jc w:val="left"/>
            </w:pPr>
            <w:r w:rsidRPr="008046FF">
              <w:t>Ignacio Gomá Lanzón</w:t>
            </w:r>
          </w:p>
          <w:p w14:paraId="46144B32" w14:textId="77777777" w:rsidR="0098261F" w:rsidRPr="008046FF" w:rsidRDefault="0098261F" w:rsidP="008046FF">
            <w:pPr>
              <w:pStyle w:val="TableCell"/>
              <w:jc w:val="left"/>
            </w:pPr>
            <w:r w:rsidRPr="008046FF">
              <w:t>Alexander Winkler</w:t>
            </w:r>
          </w:p>
        </w:tc>
        <w:tc>
          <w:tcPr>
            <w:tcW w:w="3458" w:type="dxa"/>
            <w:gridSpan w:val="3"/>
          </w:tcPr>
          <w:p w14:paraId="1395974E"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CNUE’s Anti-Money Laundering working group</w:t>
            </w:r>
          </w:p>
        </w:tc>
        <w:tc>
          <w:tcPr>
            <w:tcW w:w="3231" w:type="dxa"/>
            <w:gridSpan w:val="2"/>
          </w:tcPr>
          <w:p w14:paraId="6CDA5284"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Council of the Notariats of the European Union (CNUE)</w:t>
            </w:r>
          </w:p>
        </w:tc>
      </w:tr>
      <w:tr w:rsidR="0098261F" w:rsidRPr="008917BB" w14:paraId="4F43E82A" w14:textId="77777777" w:rsidTr="008046FF">
        <w:trPr>
          <w:cnfStyle w:val="000000010000" w:firstRow="0" w:lastRow="0" w:firstColumn="0" w:lastColumn="0" w:oddVBand="0" w:evenVBand="0" w:oddHBand="0" w:evenHBand="1"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2268" w:type="dxa"/>
            <w:gridSpan w:val="2"/>
            <w:vMerge/>
          </w:tcPr>
          <w:p w14:paraId="25163782" w14:textId="77777777" w:rsidR="0098261F" w:rsidRPr="008046FF" w:rsidRDefault="0098261F" w:rsidP="008046FF">
            <w:pPr>
              <w:pStyle w:val="TableCell"/>
              <w:jc w:val="left"/>
            </w:pPr>
          </w:p>
        </w:tc>
        <w:tc>
          <w:tcPr>
            <w:tcW w:w="3458" w:type="dxa"/>
            <w:gridSpan w:val="3"/>
          </w:tcPr>
          <w:p w14:paraId="605C3ADC"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Notary office</w:t>
            </w:r>
          </w:p>
        </w:tc>
        <w:tc>
          <w:tcPr>
            <w:tcW w:w="3231" w:type="dxa"/>
            <w:gridSpan w:val="2"/>
          </w:tcPr>
          <w:p w14:paraId="4D4AF272"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Austria</w:t>
            </w:r>
          </w:p>
        </w:tc>
      </w:tr>
      <w:tr w:rsidR="0098261F" w:rsidRPr="008917BB" w14:paraId="2AC93E32" w14:textId="77777777" w:rsidTr="008046FF">
        <w:trPr>
          <w:cnfStyle w:val="000000100000" w:firstRow="0" w:lastRow="0" w:firstColumn="0" w:lastColumn="0" w:oddVBand="0" w:evenVBand="0" w:oddHBand="1"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2268" w:type="dxa"/>
            <w:gridSpan w:val="2"/>
          </w:tcPr>
          <w:p w14:paraId="7B2E6A8C" w14:textId="77777777" w:rsidR="0098261F" w:rsidRPr="008046FF" w:rsidRDefault="0098261F" w:rsidP="008046FF">
            <w:pPr>
              <w:pStyle w:val="TableCell"/>
              <w:jc w:val="left"/>
            </w:pPr>
            <w:r w:rsidRPr="008046FF">
              <w:t>Rupert Manhart</w:t>
            </w:r>
          </w:p>
        </w:tc>
        <w:tc>
          <w:tcPr>
            <w:tcW w:w="3458" w:type="dxa"/>
            <w:gridSpan w:val="3"/>
          </w:tcPr>
          <w:p w14:paraId="3EBA6E27"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Anti-money laundering Committee</w:t>
            </w:r>
          </w:p>
        </w:tc>
        <w:tc>
          <w:tcPr>
            <w:tcW w:w="3231" w:type="dxa"/>
            <w:gridSpan w:val="2"/>
          </w:tcPr>
          <w:p w14:paraId="11209A39" w14:textId="77777777" w:rsidR="0098261F" w:rsidRPr="008046F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pPr>
            <w:r w:rsidRPr="008046FF">
              <w:t>Council of Bars and Law Societies of Europe</w:t>
            </w:r>
          </w:p>
        </w:tc>
      </w:tr>
      <w:tr w:rsidR="0098261F" w:rsidRPr="008917BB" w14:paraId="5DD4E012" w14:textId="77777777" w:rsidTr="008046FF">
        <w:trPr>
          <w:cnfStyle w:val="000000010000" w:firstRow="0" w:lastRow="0" w:firstColumn="0" w:lastColumn="0" w:oddVBand="0" w:evenVBand="0" w:oddHBand="0" w:evenHBand="1"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8" w:type="dxa"/>
            <w:gridSpan w:val="2"/>
            <w:vMerge w:val="restart"/>
          </w:tcPr>
          <w:p w14:paraId="0563D491" w14:textId="77777777" w:rsidR="0098261F" w:rsidRPr="008046FF" w:rsidRDefault="0098261F" w:rsidP="008046FF">
            <w:pPr>
              <w:pStyle w:val="TableCell"/>
              <w:jc w:val="left"/>
            </w:pPr>
            <w:r w:rsidRPr="008046FF">
              <w:t>Silvina Capello</w:t>
            </w:r>
          </w:p>
        </w:tc>
        <w:tc>
          <w:tcPr>
            <w:tcW w:w="3458" w:type="dxa"/>
            <w:gridSpan w:val="3"/>
            <w:vMerge w:val="restart"/>
          </w:tcPr>
          <w:p w14:paraId="61DE6E54"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UINL External consultant for AML/CFT issues</w:t>
            </w:r>
          </w:p>
        </w:tc>
        <w:tc>
          <w:tcPr>
            <w:tcW w:w="3231" w:type="dxa"/>
            <w:gridSpan w:val="2"/>
            <w:vMerge w:val="restart"/>
          </w:tcPr>
          <w:p w14:paraId="2D3B7A70" w14:textId="77777777" w:rsidR="0098261F" w:rsidRPr="008046F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pPr>
            <w:r w:rsidRPr="008046FF">
              <w:t>International Union of Notariats (UINL)</w:t>
            </w:r>
          </w:p>
        </w:tc>
      </w:tr>
      <w:tr w:rsidR="0098261F" w:rsidRPr="008917BB" w14:paraId="546C962D" w14:textId="77777777" w:rsidTr="008046FF">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8" w:type="dxa"/>
            <w:gridSpan w:val="2"/>
            <w:vMerge/>
          </w:tcPr>
          <w:p w14:paraId="4AA4F405" w14:textId="77777777" w:rsidR="0098261F" w:rsidRPr="008917BB" w:rsidRDefault="0098261F" w:rsidP="0098261F">
            <w:pPr>
              <w:rPr>
                <w:rFonts w:ascii="Georgia" w:eastAsia="Times New Roman" w:hAnsi="Georgia" w:cs="Arial"/>
                <w:color w:val="000000"/>
                <w:sz w:val="20"/>
                <w:lang w:eastAsia="en-GB"/>
              </w:rPr>
            </w:pPr>
          </w:p>
        </w:tc>
        <w:tc>
          <w:tcPr>
            <w:tcW w:w="3458" w:type="dxa"/>
            <w:gridSpan w:val="3"/>
            <w:vMerge/>
          </w:tcPr>
          <w:p w14:paraId="353249B8" w14:textId="77777777" w:rsidR="0098261F" w:rsidRPr="008917BB" w:rsidRDefault="0098261F" w:rsidP="0098261F">
            <w:pPr>
              <w:cnfStyle w:val="000000100000" w:firstRow="0" w:lastRow="0" w:firstColumn="0" w:lastColumn="0" w:oddVBand="0" w:evenVBand="0" w:oddHBand="1" w:evenHBand="0" w:firstRowFirstColumn="0" w:firstRowLastColumn="0" w:lastRowFirstColumn="0" w:lastRowLastColumn="0"/>
              <w:rPr>
                <w:rFonts w:eastAsia="Times New Roman"/>
                <w:color w:val="000000"/>
                <w:lang w:eastAsia="en-GB"/>
              </w:rPr>
            </w:pPr>
          </w:p>
        </w:tc>
        <w:tc>
          <w:tcPr>
            <w:tcW w:w="3231" w:type="dxa"/>
            <w:gridSpan w:val="2"/>
            <w:vMerge/>
          </w:tcPr>
          <w:p w14:paraId="6542F2E1" w14:textId="77777777" w:rsidR="0098261F" w:rsidRPr="008917BB" w:rsidRDefault="0098261F" w:rsidP="0098261F">
            <w:pPr>
              <w:cnfStyle w:val="000000100000" w:firstRow="0" w:lastRow="0" w:firstColumn="0" w:lastColumn="0" w:oddVBand="0" w:evenVBand="0" w:oddHBand="1" w:evenHBand="0" w:firstRowFirstColumn="0" w:firstRowLastColumn="0" w:lastRowFirstColumn="0" w:lastRowLastColumn="0"/>
              <w:rPr>
                <w:rFonts w:eastAsia="Times New Roman"/>
                <w:color w:val="000000"/>
                <w:lang w:eastAsia="en-GB"/>
              </w:rPr>
            </w:pPr>
          </w:p>
        </w:tc>
      </w:tr>
      <w:tr w:rsidR="0098261F" w:rsidRPr="008917BB" w14:paraId="3BF7EDE7"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147" w:type="dxa"/>
            <w:noWrap/>
            <w:hideMark/>
          </w:tcPr>
          <w:p w14:paraId="28F1D4CF" w14:textId="4D312389" w:rsidR="0098261F" w:rsidRPr="008046FF" w:rsidRDefault="0098261F" w:rsidP="008046FF">
            <w:pPr>
              <w:pStyle w:val="TableColumn"/>
              <w:rPr>
                <w:b/>
                <w:lang w:eastAsia="en-GB"/>
              </w:rPr>
            </w:pPr>
          </w:p>
        </w:tc>
        <w:tc>
          <w:tcPr>
            <w:tcW w:w="3544" w:type="dxa"/>
            <w:gridSpan w:val="3"/>
            <w:noWrap/>
            <w:hideMark/>
          </w:tcPr>
          <w:p w14:paraId="607DD088" w14:textId="2311A779" w:rsidR="0098261F" w:rsidRPr="008046FF" w:rsidRDefault="008046FF" w:rsidP="008046FF">
            <w:pPr>
              <w:pStyle w:val="TableColumn"/>
              <w:cnfStyle w:val="000000010000" w:firstRow="0" w:lastRow="0" w:firstColumn="0" w:lastColumn="0" w:oddVBand="0" w:evenVBand="0" w:oddHBand="0" w:evenHBand="1" w:firstRowFirstColumn="0" w:firstRowLastColumn="0" w:lastRowFirstColumn="0" w:lastRowLastColumn="0"/>
              <w:rPr>
                <w:rFonts w:ascii="Arial" w:hAnsi="Arial"/>
                <w:b/>
                <w:sz w:val="20"/>
                <w:lang w:eastAsia="en-GB"/>
              </w:rPr>
            </w:pPr>
            <w:r w:rsidRPr="008046FF">
              <w:rPr>
                <w:b/>
                <w:bCs/>
                <w:sz w:val="20"/>
                <w:lang w:eastAsia="en-GB"/>
              </w:rPr>
              <w:t>TCSPs</w:t>
            </w:r>
          </w:p>
        </w:tc>
        <w:tc>
          <w:tcPr>
            <w:tcW w:w="3260" w:type="dxa"/>
            <w:gridSpan w:val="2"/>
            <w:noWrap/>
            <w:hideMark/>
          </w:tcPr>
          <w:p w14:paraId="55B5D6A2" w14:textId="77777777" w:rsidR="0098261F" w:rsidRPr="008046FF" w:rsidRDefault="0098261F" w:rsidP="008046FF">
            <w:pPr>
              <w:pStyle w:val="TableColumn"/>
              <w:cnfStyle w:val="000000010000" w:firstRow="0" w:lastRow="0" w:firstColumn="0" w:lastColumn="0" w:oddVBand="0" w:evenVBand="0" w:oddHBand="0" w:evenHBand="1" w:firstRowFirstColumn="0" w:firstRowLastColumn="0" w:lastRowFirstColumn="0" w:lastRowLastColumn="0"/>
              <w:rPr>
                <w:rFonts w:ascii="Arial" w:hAnsi="Arial"/>
                <w:b/>
                <w:sz w:val="20"/>
                <w:lang w:eastAsia="en-GB"/>
              </w:rPr>
            </w:pPr>
          </w:p>
        </w:tc>
      </w:tr>
      <w:tr w:rsidR="0098261F" w:rsidRPr="008917BB" w14:paraId="58751C2E" w14:textId="77777777" w:rsidTr="008046FF">
        <w:trPr>
          <w:gridAfter w:val="1"/>
          <w:cnfStyle w:val="000000100000" w:firstRow="0" w:lastRow="0" w:firstColumn="0" w:lastColumn="0" w:oddVBand="0" w:evenVBand="0" w:oddHBand="1" w:evenHBand="0"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147" w:type="dxa"/>
            <w:tcBorders>
              <w:bottom w:val="single" w:sz="4" w:space="0" w:color="auto"/>
            </w:tcBorders>
            <w:hideMark/>
          </w:tcPr>
          <w:p w14:paraId="316E83B8" w14:textId="77777777" w:rsidR="0098261F" w:rsidRPr="008046FF" w:rsidRDefault="0098261F" w:rsidP="008046FF">
            <w:pPr>
              <w:pStyle w:val="TableColumn"/>
              <w:rPr>
                <w:b/>
                <w:lang w:eastAsia="en-GB"/>
              </w:rPr>
            </w:pPr>
            <w:r w:rsidRPr="008046FF">
              <w:rPr>
                <w:b/>
                <w:sz w:val="20"/>
                <w:lang w:eastAsia="en-GB"/>
              </w:rPr>
              <w:t>Member</w:t>
            </w:r>
          </w:p>
        </w:tc>
        <w:tc>
          <w:tcPr>
            <w:tcW w:w="3544" w:type="dxa"/>
            <w:gridSpan w:val="3"/>
            <w:tcBorders>
              <w:bottom w:val="single" w:sz="4" w:space="0" w:color="auto"/>
            </w:tcBorders>
            <w:hideMark/>
          </w:tcPr>
          <w:p w14:paraId="77C00AA6" w14:textId="77777777" w:rsidR="0098261F" w:rsidRPr="008046FF" w:rsidRDefault="0098261F" w:rsidP="008046FF">
            <w:pPr>
              <w:pStyle w:val="TableColumn"/>
              <w:cnfStyle w:val="000000100000" w:firstRow="0" w:lastRow="0" w:firstColumn="0" w:lastColumn="0" w:oddVBand="0" w:evenVBand="0" w:oddHBand="1" w:evenHBand="0" w:firstRowFirstColumn="0" w:firstRowLastColumn="0" w:lastRowFirstColumn="0" w:lastRowLastColumn="0"/>
              <w:rPr>
                <w:b/>
                <w:bCs/>
                <w:sz w:val="20"/>
                <w:lang w:eastAsia="en-GB"/>
              </w:rPr>
            </w:pPr>
            <w:r w:rsidRPr="008046FF">
              <w:rPr>
                <w:b/>
                <w:bCs/>
                <w:sz w:val="20"/>
                <w:lang w:eastAsia="en-GB"/>
              </w:rPr>
              <w:t xml:space="preserve">Office </w:t>
            </w:r>
          </w:p>
        </w:tc>
        <w:tc>
          <w:tcPr>
            <w:tcW w:w="3260" w:type="dxa"/>
            <w:gridSpan w:val="2"/>
            <w:tcBorders>
              <w:bottom w:val="single" w:sz="4" w:space="0" w:color="auto"/>
            </w:tcBorders>
            <w:hideMark/>
          </w:tcPr>
          <w:p w14:paraId="1D657639" w14:textId="77777777" w:rsidR="0098261F" w:rsidRPr="008046FF" w:rsidRDefault="0098261F" w:rsidP="008046FF">
            <w:pPr>
              <w:pStyle w:val="TableColumn"/>
              <w:cnfStyle w:val="000000100000" w:firstRow="0" w:lastRow="0" w:firstColumn="0" w:lastColumn="0" w:oddVBand="0" w:evenVBand="0" w:oddHBand="1" w:evenHBand="0" w:firstRowFirstColumn="0" w:firstRowLastColumn="0" w:lastRowFirstColumn="0" w:lastRowLastColumn="0"/>
              <w:rPr>
                <w:b/>
                <w:bCs/>
                <w:sz w:val="20"/>
                <w:lang w:eastAsia="en-GB"/>
              </w:rPr>
            </w:pPr>
            <w:r w:rsidRPr="008046FF">
              <w:rPr>
                <w:b/>
                <w:bCs/>
                <w:sz w:val="20"/>
                <w:lang w:eastAsia="en-GB"/>
              </w:rPr>
              <w:t>Institution</w:t>
            </w:r>
          </w:p>
        </w:tc>
      </w:tr>
      <w:tr w:rsidR="0098261F" w:rsidRPr="008917BB" w14:paraId="596B9097" w14:textId="77777777" w:rsidTr="008046FF">
        <w:trPr>
          <w:gridAfter w:val="1"/>
          <w:cnfStyle w:val="000000010000" w:firstRow="0" w:lastRow="0" w:firstColumn="0" w:lastColumn="0" w:oddVBand="0" w:evenVBand="0" w:oddHBand="0" w:evenHBand="1"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147" w:type="dxa"/>
            <w:tcBorders>
              <w:top w:val="single" w:sz="4" w:space="0" w:color="auto"/>
            </w:tcBorders>
          </w:tcPr>
          <w:p w14:paraId="1FC708C0" w14:textId="77777777" w:rsidR="0098261F" w:rsidRPr="005C4F39" w:rsidRDefault="0098261F" w:rsidP="008046FF">
            <w:pPr>
              <w:pStyle w:val="TableCell"/>
              <w:jc w:val="left"/>
              <w:rPr>
                <w:lang w:eastAsia="en-GB"/>
              </w:rPr>
            </w:pPr>
            <w:r>
              <w:rPr>
                <w:lang w:eastAsia="en-GB"/>
              </w:rPr>
              <w:t xml:space="preserve">John Riches </w:t>
            </w:r>
            <w:r w:rsidRPr="005C4F39">
              <w:rPr>
                <w:lang w:eastAsia="en-GB"/>
              </w:rPr>
              <w:t xml:space="preserve">(Co-chair) </w:t>
            </w:r>
          </w:p>
          <w:p w14:paraId="31A760C7" w14:textId="77777777" w:rsidR="0098261F" w:rsidRDefault="0098261F" w:rsidP="008046FF">
            <w:pPr>
              <w:pStyle w:val="TableCell"/>
              <w:jc w:val="left"/>
              <w:rPr>
                <w:b/>
                <w:bCs w:val="0"/>
                <w:lang w:eastAsia="en-GB"/>
              </w:rPr>
            </w:pPr>
            <w:r>
              <w:rPr>
                <w:lang w:eastAsia="en-GB"/>
              </w:rPr>
              <w:t>Samantha Morgan</w:t>
            </w:r>
          </w:p>
        </w:tc>
        <w:tc>
          <w:tcPr>
            <w:tcW w:w="3544" w:type="dxa"/>
            <w:gridSpan w:val="3"/>
            <w:tcBorders>
              <w:top w:val="single" w:sz="4" w:space="0" w:color="auto"/>
            </w:tcBorders>
          </w:tcPr>
          <w:p w14:paraId="7D388084" w14:textId="77777777" w:rsidR="0098261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b/>
                <w:lang w:eastAsia="en-GB"/>
              </w:rPr>
            </w:pPr>
            <w:r w:rsidRPr="008917BB">
              <w:rPr>
                <w:lang w:eastAsia="en-GB"/>
              </w:rPr>
              <w:t>RMW Law LLP</w:t>
            </w:r>
          </w:p>
        </w:tc>
        <w:tc>
          <w:tcPr>
            <w:tcW w:w="3260" w:type="dxa"/>
            <w:gridSpan w:val="2"/>
            <w:vMerge w:val="restart"/>
            <w:tcBorders>
              <w:top w:val="single" w:sz="4" w:space="0" w:color="auto"/>
            </w:tcBorders>
          </w:tcPr>
          <w:p w14:paraId="7BA73A11" w14:textId="77777777" w:rsidR="0098261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b/>
                <w:lang w:eastAsia="en-GB"/>
              </w:rPr>
            </w:pPr>
            <w:r w:rsidRPr="008917BB">
              <w:rPr>
                <w:lang w:eastAsia="en-GB"/>
              </w:rPr>
              <w:t>Society of Trust and Estate Practitioners (STEP)</w:t>
            </w:r>
          </w:p>
        </w:tc>
      </w:tr>
      <w:tr w:rsidR="0098261F" w:rsidRPr="008917BB" w14:paraId="423B2732"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285"/>
        </w:trPr>
        <w:tc>
          <w:tcPr>
            <w:cnfStyle w:val="001000000000" w:firstRow="0" w:lastRow="0" w:firstColumn="1" w:lastColumn="0" w:oddVBand="0" w:evenVBand="0" w:oddHBand="0" w:evenHBand="0" w:firstRowFirstColumn="0" w:firstRowLastColumn="0" w:lastRowFirstColumn="0" w:lastRowLastColumn="0"/>
            <w:tcW w:w="2147" w:type="dxa"/>
          </w:tcPr>
          <w:p w14:paraId="0E96D8C9" w14:textId="77777777" w:rsidR="0098261F" w:rsidRDefault="0098261F" w:rsidP="008046FF">
            <w:pPr>
              <w:pStyle w:val="TableCell"/>
              <w:jc w:val="left"/>
              <w:rPr>
                <w:b/>
                <w:bCs w:val="0"/>
                <w:lang w:eastAsia="en-GB"/>
              </w:rPr>
            </w:pPr>
            <w:r>
              <w:rPr>
                <w:lang w:eastAsia="en-GB"/>
              </w:rPr>
              <w:t>Emily Deane</w:t>
            </w:r>
          </w:p>
        </w:tc>
        <w:tc>
          <w:tcPr>
            <w:tcW w:w="3544" w:type="dxa"/>
            <w:gridSpan w:val="3"/>
          </w:tcPr>
          <w:p w14:paraId="4C074806" w14:textId="77777777" w:rsidR="0098261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b/>
                <w:lang w:eastAsia="en-GB"/>
              </w:rPr>
            </w:pPr>
            <w:r>
              <w:rPr>
                <w:lang w:eastAsia="en-GB"/>
              </w:rPr>
              <w:t>Technical Counsel</w:t>
            </w:r>
          </w:p>
        </w:tc>
        <w:tc>
          <w:tcPr>
            <w:tcW w:w="3260" w:type="dxa"/>
            <w:gridSpan w:val="2"/>
            <w:vMerge/>
          </w:tcPr>
          <w:p w14:paraId="4E62E013" w14:textId="77777777" w:rsidR="0098261F"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b/>
                <w:lang w:eastAsia="en-GB"/>
              </w:rPr>
            </w:pPr>
          </w:p>
        </w:tc>
      </w:tr>
      <w:tr w:rsidR="0098261F" w:rsidRPr="008917BB" w14:paraId="0F64794C"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394"/>
        </w:trPr>
        <w:tc>
          <w:tcPr>
            <w:cnfStyle w:val="001000000000" w:firstRow="0" w:lastRow="0" w:firstColumn="1" w:lastColumn="0" w:oddVBand="0" w:evenVBand="0" w:oddHBand="0" w:evenHBand="0" w:firstRowFirstColumn="0" w:firstRowLastColumn="0" w:lastRowFirstColumn="0" w:lastRowLastColumn="0"/>
            <w:tcW w:w="2147" w:type="dxa"/>
          </w:tcPr>
          <w:p w14:paraId="725B9163" w14:textId="77777777" w:rsidR="0098261F" w:rsidRPr="008917BB" w:rsidRDefault="0098261F" w:rsidP="008046FF">
            <w:pPr>
              <w:pStyle w:val="TableCell"/>
              <w:jc w:val="left"/>
              <w:rPr>
                <w:lang w:eastAsia="en-GB"/>
              </w:rPr>
            </w:pPr>
            <w:r w:rsidRPr="008917BB">
              <w:rPr>
                <w:lang w:eastAsia="en-GB"/>
              </w:rPr>
              <w:t>Paul Hodgson</w:t>
            </w:r>
          </w:p>
        </w:tc>
        <w:tc>
          <w:tcPr>
            <w:tcW w:w="3544" w:type="dxa"/>
            <w:gridSpan w:val="3"/>
          </w:tcPr>
          <w:p w14:paraId="3DE57634"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Pr>
                <w:lang w:eastAsia="en-GB"/>
              </w:rPr>
              <w:t>Butterfield Trust (Guernsey) Ltd</w:t>
            </w:r>
          </w:p>
        </w:tc>
        <w:tc>
          <w:tcPr>
            <w:tcW w:w="3260" w:type="dxa"/>
            <w:gridSpan w:val="2"/>
            <w:vMerge w:val="restart"/>
          </w:tcPr>
          <w:p w14:paraId="26F490D1"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8917BB">
              <w:rPr>
                <w:lang w:eastAsia="en-GB"/>
              </w:rPr>
              <w:t>The Guernsey Association of Trustees</w:t>
            </w:r>
          </w:p>
        </w:tc>
      </w:tr>
      <w:tr w:rsidR="0098261F" w:rsidRPr="008917BB" w14:paraId="7EED7288" w14:textId="77777777" w:rsidTr="0016439D">
        <w:trPr>
          <w:gridAfter w:val="1"/>
          <w:cnfStyle w:val="000000100000" w:firstRow="0" w:lastRow="0" w:firstColumn="0" w:lastColumn="0" w:oddVBand="0" w:evenVBand="0" w:oddHBand="1" w:evenHBand="0" w:firstRowFirstColumn="0" w:firstRowLastColumn="0" w:lastRowFirstColumn="0" w:lastRowLastColumn="0"/>
          <w:wAfter w:w="6" w:type="dxa"/>
          <w:trHeight w:val="346"/>
        </w:trPr>
        <w:tc>
          <w:tcPr>
            <w:cnfStyle w:val="001000000000" w:firstRow="0" w:lastRow="0" w:firstColumn="1" w:lastColumn="0" w:oddVBand="0" w:evenVBand="0" w:oddHBand="0" w:evenHBand="0" w:firstRowFirstColumn="0" w:firstRowLastColumn="0" w:lastRowFirstColumn="0" w:lastRowLastColumn="0"/>
            <w:tcW w:w="2147" w:type="dxa"/>
          </w:tcPr>
          <w:p w14:paraId="1C8E0425" w14:textId="77777777" w:rsidR="0098261F" w:rsidRPr="008917BB" w:rsidRDefault="0098261F" w:rsidP="008046FF">
            <w:pPr>
              <w:pStyle w:val="TableCell"/>
              <w:jc w:val="left"/>
              <w:rPr>
                <w:lang w:eastAsia="en-GB"/>
              </w:rPr>
            </w:pPr>
            <w:r w:rsidRPr="008917BB">
              <w:rPr>
                <w:lang w:eastAsia="en-GB"/>
              </w:rPr>
              <w:t>Michael Betley</w:t>
            </w:r>
          </w:p>
        </w:tc>
        <w:tc>
          <w:tcPr>
            <w:tcW w:w="3544" w:type="dxa"/>
            <w:gridSpan w:val="3"/>
          </w:tcPr>
          <w:p w14:paraId="0F41C760"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r>
              <w:rPr>
                <w:lang w:eastAsia="en-GB"/>
              </w:rPr>
              <w:t xml:space="preserve">Trust Corporation International </w:t>
            </w:r>
          </w:p>
        </w:tc>
        <w:tc>
          <w:tcPr>
            <w:tcW w:w="3260" w:type="dxa"/>
            <w:gridSpan w:val="2"/>
            <w:vMerge/>
          </w:tcPr>
          <w:p w14:paraId="698A6FBC" w14:textId="77777777" w:rsidR="0098261F" w:rsidRPr="008917BB" w:rsidRDefault="0098261F" w:rsidP="008046FF">
            <w:pPr>
              <w:pStyle w:val="TableCell"/>
              <w:jc w:val="left"/>
              <w:cnfStyle w:val="000000100000" w:firstRow="0" w:lastRow="0" w:firstColumn="0" w:lastColumn="0" w:oddVBand="0" w:evenVBand="0" w:oddHBand="1" w:evenHBand="0" w:firstRowFirstColumn="0" w:firstRowLastColumn="0" w:lastRowFirstColumn="0" w:lastRowLastColumn="0"/>
              <w:rPr>
                <w:lang w:eastAsia="en-GB"/>
              </w:rPr>
            </w:pPr>
          </w:p>
        </w:tc>
      </w:tr>
      <w:tr w:rsidR="0098261F" w:rsidRPr="008917BB" w14:paraId="721DA532" w14:textId="77777777" w:rsidTr="0016439D">
        <w:trPr>
          <w:gridAfter w:val="1"/>
          <w:cnfStyle w:val="000000010000" w:firstRow="0" w:lastRow="0" w:firstColumn="0" w:lastColumn="0" w:oddVBand="0" w:evenVBand="0" w:oddHBand="0" w:evenHBand="1" w:firstRowFirstColumn="0" w:firstRowLastColumn="0" w:lastRowFirstColumn="0" w:lastRowLastColumn="0"/>
          <w:wAfter w:w="6" w:type="dxa"/>
          <w:trHeight w:val="245"/>
        </w:trPr>
        <w:tc>
          <w:tcPr>
            <w:cnfStyle w:val="001000000000" w:firstRow="0" w:lastRow="0" w:firstColumn="1" w:lastColumn="0" w:oddVBand="0" w:evenVBand="0" w:oddHBand="0" w:evenHBand="0" w:firstRowFirstColumn="0" w:firstRowLastColumn="0" w:lastRowFirstColumn="0" w:lastRowLastColumn="0"/>
            <w:tcW w:w="2147" w:type="dxa"/>
          </w:tcPr>
          <w:p w14:paraId="764FD98B" w14:textId="77777777" w:rsidR="0098261F" w:rsidRDefault="0098261F" w:rsidP="008046FF">
            <w:pPr>
              <w:pStyle w:val="TableCell"/>
              <w:jc w:val="left"/>
              <w:rPr>
                <w:lang w:eastAsia="en-GB"/>
              </w:rPr>
            </w:pPr>
            <w:r>
              <w:rPr>
                <w:lang w:eastAsia="en-GB"/>
              </w:rPr>
              <w:t>Paula Reid</w:t>
            </w:r>
          </w:p>
        </w:tc>
        <w:tc>
          <w:tcPr>
            <w:tcW w:w="3544" w:type="dxa"/>
            <w:gridSpan w:val="3"/>
          </w:tcPr>
          <w:p w14:paraId="7059995D" w14:textId="77777777" w:rsidR="0098261F"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F67A11">
              <w:rPr>
                <w:lang w:eastAsia="en-GB"/>
              </w:rPr>
              <w:t>A&amp;L Goodbody</w:t>
            </w:r>
          </w:p>
        </w:tc>
        <w:tc>
          <w:tcPr>
            <w:tcW w:w="3260" w:type="dxa"/>
            <w:gridSpan w:val="2"/>
          </w:tcPr>
          <w:p w14:paraId="385D65F8" w14:textId="77777777" w:rsidR="0098261F" w:rsidRPr="008917BB" w:rsidRDefault="0098261F" w:rsidP="008046FF">
            <w:pPr>
              <w:pStyle w:val="TableCell"/>
              <w:jc w:val="left"/>
              <w:cnfStyle w:val="000000010000" w:firstRow="0" w:lastRow="0" w:firstColumn="0" w:lastColumn="0" w:oddVBand="0" w:evenVBand="0" w:oddHBand="0" w:evenHBand="1" w:firstRowFirstColumn="0" w:firstRowLastColumn="0" w:lastRowFirstColumn="0" w:lastRowLastColumn="0"/>
              <w:rPr>
                <w:lang w:eastAsia="en-GB"/>
              </w:rPr>
            </w:pPr>
            <w:r w:rsidRPr="00F67A11">
              <w:rPr>
                <w:lang w:eastAsia="en-GB"/>
              </w:rPr>
              <w:t>A&amp;L Goodbody</w:t>
            </w:r>
            <w:r>
              <w:rPr>
                <w:lang w:eastAsia="en-GB"/>
              </w:rPr>
              <w:t>, Ireland</w:t>
            </w:r>
          </w:p>
        </w:tc>
      </w:tr>
    </w:tbl>
    <w:p w14:paraId="6195B0D9" w14:textId="20F41C8F" w:rsidR="004D1E02" w:rsidRDefault="004D1E02">
      <w:pPr>
        <w:tabs>
          <w:tab w:val="clear" w:pos="850"/>
          <w:tab w:val="clear" w:pos="1191"/>
          <w:tab w:val="clear" w:pos="1531"/>
        </w:tabs>
        <w:jc w:val="left"/>
      </w:pPr>
    </w:p>
    <w:sectPr w:rsidR="004D1E02" w:rsidSect="00A404A5">
      <w:headerReference w:type="even" r:id="rId19"/>
      <w:headerReference w:type="default" r:id="rId20"/>
      <w:footerReference w:type="even" r:id="rId21"/>
      <w:footerReference w:type="default" r:id="rId22"/>
      <w:endnotePr>
        <w:numFmt w:val="decimal"/>
        <w:numRestart w:val="eachSect"/>
      </w:endnotePr>
      <w:type w:val="continuous"/>
      <w:pgSz w:w="11907" w:h="16840" w:code="9"/>
      <w:pgMar w:top="2098" w:right="1304" w:bottom="1928" w:left="1304" w:header="1531" w:footer="113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4F0D26" w14:textId="77777777" w:rsidR="000F5FA2" w:rsidRPr="00571842" w:rsidRDefault="000F5FA2" w:rsidP="00571842">
      <w:pPr>
        <w:pStyle w:val="Footer"/>
      </w:pPr>
    </w:p>
  </w:endnote>
  <w:endnote w:type="continuationSeparator" w:id="0">
    <w:p w14:paraId="2BDD40B5" w14:textId="77777777" w:rsidR="000F5FA2" w:rsidRPr="00D37B13" w:rsidRDefault="000F5FA2" w:rsidP="00D37B13">
      <w:pPr>
        <w:pStyle w:val="Footer"/>
      </w:pPr>
    </w:p>
  </w:endnote>
  <w:endnote w:type="continuationNotice" w:id="1">
    <w:p w14:paraId="6CA55B48" w14:textId="77777777" w:rsidR="000F5FA2" w:rsidRPr="00D37B13" w:rsidRDefault="000F5FA2" w:rsidP="00D37B13">
      <w:pPr>
        <w:pStyle w:val="Foote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Hei">
    <w:altName w:val="黑体"/>
    <w:panose1 w:val="02010600030101010101"/>
    <w:charset w:val="86"/>
    <w:family w:val="modern"/>
    <w:pitch w:val="fixed"/>
    <w:sig w:usb0="800002BF" w:usb1="38CF7CFA" w:usb2="00000016" w:usb3="00000000" w:csb0="00040001" w:csb1="00000000"/>
  </w:font>
  <w:font w:name="Bernini Sans Light">
    <w:altName w:val="Arial"/>
    <w:panose1 w:val="00000000000000000000"/>
    <w:charset w:val="00"/>
    <w:family w:val="modern"/>
    <w:notTrueType/>
    <w:pitch w:val="variable"/>
    <w:sig w:usb0="00000001" w:usb1="0000007B" w:usb2="00000000" w:usb3="00000000" w:csb0="00000093" w:csb1="00000000"/>
  </w:font>
  <w:font w:name="Caecilia LT Std Roman">
    <w:panose1 w:val="00000500000000000000"/>
    <w:charset w:val="00"/>
    <w:family w:val="roman"/>
    <w:notTrueType/>
    <w:pitch w:val="variable"/>
    <w:sig w:usb0="00000003" w:usb1="00000000" w:usb2="00000000" w:usb3="00000000" w:csb0="00000001" w:csb1="00000000"/>
  </w:font>
  <w:font w:name="Bernini Sans">
    <w:altName w:val="Arial"/>
    <w:panose1 w:val="00000000000000000000"/>
    <w:charset w:val="00"/>
    <w:family w:val="modern"/>
    <w:notTrueType/>
    <w:pitch w:val="variable"/>
    <w:sig w:usb0="A00000FF" w:usb1="0000007B" w:usb2="00000000" w:usb3="00000000" w:csb0="00000093" w:csb1="00000000"/>
  </w:font>
  <w:font w:name="Cambria">
    <w:panose1 w:val="02040503050406030204"/>
    <w:charset w:val="00"/>
    <w:family w:val="roman"/>
    <w:pitch w:val="variable"/>
    <w:sig w:usb0="E00002FF" w:usb1="400004FF" w:usb2="00000000" w:usb3="00000000" w:csb0="0000019F" w:csb1="00000000"/>
  </w:font>
  <w:font w:name="StatLink">
    <w:panose1 w:val="02000000000000000000"/>
    <w:charset w:val="00"/>
    <w:family w:val="auto"/>
    <w:pitch w:val="variable"/>
    <w:sig w:usb0="80000003" w:usb1="00000000" w:usb2="00000000" w:usb3="00000000" w:csb0="00000001" w:csb1="00000000"/>
  </w:font>
  <w:font w:name="Caecilia Roman">
    <w:panose1 w:val="00000000000000000000"/>
    <w:charset w:val="00"/>
    <w:family w:val="roman"/>
    <w:notTrueType/>
    <w:pitch w:val="variable"/>
    <w:sig w:usb0="0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C76D13" w14:textId="25401F9E" w:rsidR="000F5FA2" w:rsidRDefault="00AA0A82" w:rsidP="004344DD">
    <w:pPr>
      <w:pStyle w:val="Footer"/>
      <w:jc w:val="right"/>
    </w:pPr>
    <w:sdt>
      <w:sdtPr>
        <w:alias w:val="Document Title"/>
        <w:tag w:val="FooterDocTitle"/>
        <w:id w:val="-2018380169"/>
        <w:lock w:val="sdtLocked"/>
        <w:text/>
      </w:sdtPr>
      <w:sdtEndPr/>
      <w:sdtContent>
        <w:r w:rsidR="000F5FA2">
          <w:t>DRAFT RISK-BASED APPROACH GUIDANCE FOR TCSP</w:t>
        </w:r>
      </w:sdtContent>
    </w:sdt>
  </w:p>
  <w:p w14:paraId="2EB067B1" w14:textId="36EB0575" w:rsidR="000F5FA2" w:rsidRPr="000B5552" w:rsidRDefault="00AA0A82" w:rsidP="004344DD">
    <w:pPr>
      <w:pStyle w:val="FooterClassification"/>
      <w:jc w:val="left"/>
    </w:pPr>
    <w:sdt>
      <w:sdtPr>
        <w:alias w:val="Classification"/>
        <w:tag w:val="txtHeaderClassif"/>
        <w:id w:val="-2024160818"/>
        <w:lock w:val="sdtLocked"/>
        <w:showingPlcHdr/>
      </w:sdtPr>
      <w:sdtEndPr/>
      <w:sdtContent>
        <w:r w:rsidR="000F5FA2">
          <w:t xml:space="preserve">     </w:t>
        </w:r>
      </w:sdtContent>
    </w:sdt>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7788CC" w14:textId="534C7038" w:rsidR="000F5FA2" w:rsidRPr="00E929D3" w:rsidRDefault="00AA0A82" w:rsidP="005C1A9B">
    <w:pPr>
      <w:pStyle w:val="Footer"/>
      <w:jc w:val="left"/>
      <w:rPr>
        <w:rStyle w:val="PageNumber"/>
        <w:b w:val="0"/>
        <w:sz w:val="12"/>
      </w:rPr>
    </w:pPr>
    <w:sdt>
      <w:sdtPr>
        <w:rPr>
          <w:b/>
          <w:sz w:val="22"/>
          <w:szCs w:val="22"/>
        </w:rPr>
        <w:alias w:val="Document Title"/>
        <w:tag w:val="FooterDocTitle"/>
        <w:id w:val="384769247"/>
        <w:text/>
      </w:sdtPr>
      <w:sdtEndPr>
        <w:rPr>
          <w:b w:val="0"/>
          <w:sz w:val="16"/>
          <w:szCs w:val="20"/>
        </w:rPr>
      </w:sdtEndPr>
      <w:sdtContent>
        <w:r w:rsidR="000F5FA2" w:rsidRPr="001A2A76">
          <w:t xml:space="preserve">DRAFT RISK-BASED APPROACH GUIDANCE FOR </w:t>
        </w:r>
        <w:r w:rsidR="000F5FA2">
          <w:t>TCSP</w:t>
        </w:r>
      </w:sdtContent>
    </w:sdt>
    <w:r w:rsidR="000F5FA2">
      <w:rPr>
        <w:b/>
        <w:sz w:val="22"/>
        <w:szCs w:val="22"/>
      </w:rPr>
      <w:t xml:space="preserve"> </w:t>
    </w:r>
    <w:sdt>
      <w:sdtPr>
        <w:rPr>
          <w:b/>
          <w:sz w:val="22"/>
          <w:szCs w:val="22"/>
        </w:rPr>
        <w:alias w:val="Classification"/>
        <w:tag w:val="txtHeaderClassif"/>
        <w:id w:val="802437899"/>
        <w:lock w:val="sdtLocked"/>
        <w:showingPlcHdr/>
      </w:sdtPr>
      <w:sdtEndPr>
        <w:rPr>
          <w:b w:val="0"/>
          <w:sz w:val="16"/>
          <w:szCs w:val="20"/>
        </w:rPr>
      </w:sdtEndPr>
      <w:sdtContent>
        <w:r w:rsidR="000F5FA2">
          <w:rPr>
            <w:b/>
            <w:sz w:val="22"/>
            <w:szCs w:val="22"/>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DF0CEC" w14:textId="77777777" w:rsidR="000F5FA2" w:rsidRDefault="000F5FA2">
      <w:r>
        <w:separator/>
      </w:r>
    </w:p>
  </w:footnote>
  <w:footnote w:type="continuationSeparator" w:id="0">
    <w:p w14:paraId="5270963F" w14:textId="77777777" w:rsidR="000F5FA2" w:rsidRDefault="000F5FA2">
      <w:r>
        <w:continuationSeparator/>
      </w:r>
    </w:p>
  </w:footnote>
  <w:footnote w:type="continuationNotice" w:id="1">
    <w:p w14:paraId="067AE110" w14:textId="77777777" w:rsidR="000F5FA2" w:rsidRDefault="000F5FA2"/>
  </w:footnote>
  <w:footnote w:id="2">
    <w:p w14:paraId="27D50EA8" w14:textId="2454A417" w:rsidR="000F5FA2" w:rsidRPr="00D62820" w:rsidRDefault="000F5FA2">
      <w:pPr>
        <w:pStyle w:val="FootnoteText"/>
      </w:pPr>
      <w:r>
        <w:rPr>
          <w:rStyle w:val="FootnoteReference"/>
        </w:rPr>
        <w:footnoteRef/>
      </w:r>
      <w:r>
        <w:t xml:space="preserve"> </w:t>
      </w:r>
      <w:r>
        <w:tab/>
      </w:r>
      <w:hyperlink r:id="rId1" w:history="1">
        <w:r>
          <w:rPr>
            <w:rStyle w:val="Hyperlink"/>
          </w:rPr>
          <w:t>FATF (2012)</w:t>
        </w:r>
      </w:hyperlink>
    </w:p>
  </w:footnote>
  <w:footnote w:id="3">
    <w:p w14:paraId="238A9363" w14:textId="38C0E846" w:rsidR="000F5FA2" w:rsidRPr="00F0432D" w:rsidRDefault="000F5FA2" w:rsidP="002D5476">
      <w:pPr>
        <w:pStyle w:val="FootnoteText"/>
        <w:ind w:left="709"/>
      </w:pPr>
      <w:r>
        <w:rPr>
          <w:rStyle w:val="FootnoteReference"/>
        </w:rPr>
        <w:footnoteRef/>
      </w:r>
      <w:r>
        <w:t xml:space="preserve"> </w:t>
      </w:r>
      <w:r>
        <w:tab/>
        <w:t>The FATF Standards are comprised of the </w:t>
      </w:r>
      <w:hyperlink r:id="rId2" w:history="1">
        <w:r>
          <w:rPr>
            <w:rStyle w:val="Hyperlink"/>
          </w:rPr>
          <w:t>FATF Recommendations</w:t>
        </w:r>
      </w:hyperlink>
      <w:r>
        <w:t>, their Interpretive Notes and applicable definitions from the Glossary.</w:t>
      </w:r>
    </w:p>
  </w:footnote>
  <w:footnote w:id="4">
    <w:p w14:paraId="52239A67" w14:textId="5F31850A" w:rsidR="000F5FA2" w:rsidRDefault="000F5FA2" w:rsidP="002D5476">
      <w:pPr>
        <w:pStyle w:val="FootnoteText"/>
        <w:ind w:left="709"/>
        <w:rPr>
          <w:lang w:val="en-CA"/>
        </w:rPr>
      </w:pPr>
      <w:r>
        <w:rPr>
          <w:rStyle w:val="FootnoteReference"/>
        </w:rPr>
        <w:footnoteRef/>
      </w:r>
      <w:r>
        <w:t xml:space="preserve"> </w:t>
      </w:r>
      <w:r>
        <w:tab/>
        <w:t>These services are included in the FATF Glossary under “Designated non-financial businesses and professions at (f).</w:t>
      </w:r>
    </w:p>
  </w:footnote>
  <w:footnote w:id="5">
    <w:p w14:paraId="71BDB096" w14:textId="51DFD646" w:rsidR="000F5FA2" w:rsidRDefault="000F5FA2">
      <w:pPr>
        <w:pStyle w:val="FootnoteText"/>
      </w:pPr>
      <w:r>
        <w:rPr>
          <w:rStyle w:val="FootnoteReference"/>
        </w:rPr>
        <w:footnoteRef/>
      </w:r>
      <w:r>
        <w:t xml:space="preserve"> </w:t>
      </w:r>
      <w:r>
        <w:tab/>
        <w:t>including both legal and natural persons, see definition of the term ‘Designated Non-Financial Businesses and Professions’ in the FATF Glossary.</w:t>
      </w:r>
    </w:p>
  </w:footnote>
  <w:footnote w:id="6">
    <w:p w14:paraId="5D28DF07" w14:textId="59DE7416" w:rsidR="000F5FA2" w:rsidRDefault="000F5FA2">
      <w:pPr>
        <w:pStyle w:val="FootnoteText"/>
      </w:pPr>
      <w:r>
        <w:rPr>
          <w:rStyle w:val="FootnoteReference"/>
        </w:rPr>
        <w:footnoteRef/>
      </w:r>
      <w:r>
        <w:t xml:space="preserve"> </w:t>
      </w:r>
      <w:r>
        <w:tab/>
        <w:t>see definition of the term ‘Self-regulatory body’ in the FATF Glossary</w:t>
      </w:r>
    </w:p>
  </w:footnote>
  <w:footnote w:id="7">
    <w:p w14:paraId="52AB8CE9" w14:textId="018111A0" w:rsidR="000F5FA2" w:rsidRPr="008E745B" w:rsidRDefault="000F5FA2">
      <w:pPr>
        <w:pStyle w:val="FootnoteText"/>
      </w:pPr>
      <w:r>
        <w:rPr>
          <w:rStyle w:val="FootnoteReference"/>
        </w:rPr>
        <w:footnoteRef/>
      </w:r>
      <w:r>
        <w:t xml:space="preserve"> </w:t>
      </w:r>
      <w:r>
        <w:tab/>
        <w:t>National authorities should however take the Guidance into account when carrying out their supervisory functions.</w:t>
      </w:r>
    </w:p>
  </w:footnote>
  <w:footnote w:id="8">
    <w:p w14:paraId="3AE750FD" w14:textId="54ECF85B" w:rsidR="000F5FA2" w:rsidRDefault="000F5FA2" w:rsidP="002D5476">
      <w:pPr>
        <w:pStyle w:val="FootnoteText"/>
        <w:ind w:left="709"/>
      </w:pPr>
      <w:r>
        <w:rPr>
          <w:rStyle w:val="FootnoteReference"/>
        </w:rPr>
        <w:footnoteRef/>
      </w:r>
      <w:r>
        <w:t xml:space="preserve"> </w:t>
      </w:r>
      <w:r>
        <w:tab/>
        <w:t>Including both legal and natural persons, see definition for Designated Non-Financial Businesses and Professions in the FATF Glossary.</w:t>
      </w:r>
    </w:p>
  </w:footnote>
  <w:footnote w:id="9">
    <w:p w14:paraId="3A6DBD8C" w14:textId="08F220DF" w:rsidR="000F5FA2" w:rsidRDefault="000F5FA2" w:rsidP="001B1050">
      <w:pPr>
        <w:pStyle w:val="FootnoteText"/>
        <w:ind w:left="0"/>
      </w:pPr>
      <w:r>
        <w:rPr>
          <w:rStyle w:val="FootnoteReference"/>
        </w:rPr>
        <w:footnoteRef/>
      </w:r>
      <w:r>
        <w:t xml:space="preserve"> Shell company is an incorporated company with no independent operations, significant assets, ongoing business activities, or employees.</w:t>
      </w:r>
    </w:p>
  </w:footnote>
  <w:footnote w:id="10">
    <w:p w14:paraId="08F9985F" w14:textId="77777777" w:rsidR="000F5FA2" w:rsidRPr="00E21BD1" w:rsidRDefault="000F5FA2" w:rsidP="001B1050">
      <w:pPr>
        <w:jc w:val="left"/>
        <w:rPr>
          <w:rFonts w:eastAsia="SimSun"/>
          <w:sz w:val="20"/>
        </w:rPr>
      </w:pPr>
      <w:r>
        <w:rPr>
          <w:rStyle w:val="FootnoteReference"/>
        </w:rPr>
        <w:footnoteRef/>
      </w:r>
      <w:r>
        <w:t xml:space="preserve"> </w:t>
      </w:r>
      <w:r w:rsidRPr="00E21BD1">
        <w:rPr>
          <w:rFonts w:eastAsia="SimSun"/>
          <w:sz w:val="20"/>
        </w:rPr>
        <w:t>Shelf company is an incorporated company with inactive shareholders, directors, and secretary and is left dormant for a longer period even if a customer relationship has already been established.</w:t>
      </w:r>
    </w:p>
    <w:p w14:paraId="749174BF" w14:textId="18C8EB3B" w:rsidR="000F5FA2" w:rsidRDefault="000F5FA2">
      <w:pPr>
        <w:pStyle w:val="FootnoteText"/>
      </w:pPr>
    </w:p>
  </w:footnote>
  <w:footnote w:id="11">
    <w:p w14:paraId="23B51CFE" w14:textId="10D8CF95" w:rsidR="000F5FA2" w:rsidRDefault="000F5FA2">
      <w:pPr>
        <w:pStyle w:val="FootnoteText"/>
      </w:pPr>
      <w:r>
        <w:rPr>
          <w:rStyle w:val="FootnoteReference"/>
        </w:rPr>
        <w:footnoteRef/>
      </w:r>
      <w:r>
        <w:t xml:space="preserve"> </w:t>
      </w:r>
      <w:r>
        <w:tab/>
      </w:r>
      <w:r>
        <w:rPr>
          <w:lang w:val="en-US"/>
        </w:rPr>
        <w:t>R.1.</w:t>
      </w:r>
    </w:p>
  </w:footnote>
  <w:footnote w:id="12">
    <w:p w14:paraId="340CB9A9" w14:textId="5F00069B" w:rsidR="000F5FA2" w:rsidRDefault="000F5FA2">
      <w:pPr>
        <w:pStyle w:val="FootnoteText"/>
      </w:pPr>
      <w:r>
        <w:rPr>
          <w:rStyle w:val="FootnoteReference"/>
        </w:rPr>
        <w:footnoteRef/>
      </w:r>
      <w:r>
        <w:t xml:space="preserve"> </w:t>
      </w:r>
      <w:r>
        <w:tab/>
        <w:t>The effectiveness of risk-based prevention and mitigation measures will be assessed as part of the mutual evaluation of the national AML/CFT regime. The effectiveness assessment will measure the extent to which a country achieves a defined set of outcomes that are central to a robust AML/CFT system and will analyse the extent to which a country’s legal and institutional framework is producing the expected results. Assessors will need to take into account the risks and the flexibility allowed by the RBA, when determining whether there are deficiencies in a country’s AML/CFT measures, and their importance</w:t>
      </w:r>
      <w:r>
        <w:rPr>
          <w:i/>
          <w:shd w:val="clear" w:color="auto" w:fill="FFFFFF"/>
        </w:rPr>
        <w:t xml:space="preserve"> </w:t>
      </w:r>
      <w:r>
        <w:rPr>
          <w:rStyle w:val="Emphasis"/>
          <w:shd w:val="clear" w:color="auto" w:fill="FFFFFF"/>
        </w:rPr>
        <w:t>(FATF, 2013f).</w:t>
      </w:r>
    </w:p>
  </w:footnote>
  <w:footnote w:id="13">
    <w:p w14:paraId="47ECF012" w14:textId="4B0ADEC5" w:rsidR="000F5FA2" w:rsidRDefault="000F5FA2">
      <w:pPr>
        <w:pStyle w:val="FootnoteText"/>
      </w:pPr>
      <w:r>
        <w:rPr>
          <w:rStyle w:val="FootnoteReference"/>
        </w:rPr>
        <w:footnoteRef/>
      </w:r>
      <w:r>
        <w:t xml:space="preserve"> </w:t>
      </w:r>
      <w:r>
        <w:tab/>
        <w:t>See Glossary, definitions of “Designated non-financial businesses and professions” and “Financial institutions”.</w:t>
      </w:r>
    </w:p>
  </w:footnote>
  <w:footnote w:id="14">
    <w:p w14:paraId="6509E234" w14:textId="4E475EB8" w:rsidR="000F5FA2" w:rsidRPr="00234746" w:rsidRDefault="000F5FA2">
      <w:pPr>
        <w:pStyle w:val="FootnoteText"/>
      </w:pPr>
      <w:r>
        <w:rPr>
          <w:rStyle w:val="FootnoteReference"/>
        </w:rPr>
        <w:footnoteRef/>
      </w:r>
      <w:r>
        <w:t xml:space="preserve"> </w:t>
      </w:r>
      <w:r>
        <w:tab/>
      </w:r>
      <w:r w:rsidRPr="00234746">
        <w:t>See INR.1.</w:t>
      </w:r>
    </w:p>
  </w:footnote>
  <w:footnote w:id="15">
    <w:p w14:paraId="76D1812E" w14:textId="46136741" w:rsidR="000F5FA2" w:rsidRDefault="000F5FA2">
      <w:pPr>
        <w:pStyle w:val="FootnoteText"/>
      </w:pPr>
      <w:r w:rsidRPr="00234746">
        <w:rPr>
          <w:rStyle w:val="FootnoteReference"/>
          <w:sz w:val="20"/>
        </w:rPr>
        <w:footnoteRef/>
      </w:r>
      <w:r w:rsidRPr="00234746">
        <w:t xml:space="preserve"> </w:t>
      </w:r>
      <w:r>
        <w:tab/>
      </w:r>
      <w:r w:rsidRPr="00234746">
        <w:t>See R.10</w:t>
      </w:r>
    </w:p>
  </w:footnote>
  <w:footnote w:id="16">
    <w:p w14:paraId="7A363367" w14:textId="39D047A7" w:rsidR="000F5FA2" w:rsidRPr="007A34BB" w:rsidRDefault="000F5FA2">
      <w:pPr>
        <w:pStyle w:val="FootnoteText"/>
      </w:pPr>
      <w:r w:rsidRPr="007A34BB">
        <w:rPr>
          <w:rStyle w:val="FootnoteReference"/>
          <w:sz w:val="20"/>
        </w:rPr>
        <w:footnoteRef/>
      </w:r>
      <w:r w:rsidRPr="007A34BB">
        <w:t xml:space="preserve"> </w:t>
      </w:r>
      <w:r>
        <w:tab/>
      </w:r>
      <w:r w:rsidRPr="007A34BB">
        <w:t xml:space="preserve">R.1 and INR.1. </w:t>
      </w:r>
    </w:p>
  </w:footnote>
  <w:footnote w:id="17">
    <w:p w14:paraId="2770ACDA" w14:textId="568F8000" w:rsidR="000F5FA2" w:rsidRPr="007A34BB" w:rsidRDefault="000F5FA2">
      <w:pPr>
        <w:pStyle w:val="FootnoteText"/>
      </w:pPr>
      <w:r w:rsidRPr="007A34BB">
        <w:rPr>
          <w:rStyle w:val="FootnoteReference"/>
          <w:sz w:val="20"/>
        </w:rPr>
        <w:footnoteRef/>
      </w:r>
      <w:r>
        <w:t xml:space="preserve"> </w:t>
      </w:r>
      <w:r>
        <w:tab/>
      </w:r>
      <w:r w:rsidRPr="007A34BB">
        <w:t xml:space="preserve">This could be based on a combination of elements described in Section II, as well as objective criteria such as mutual evaluation reports, follow-up reports or FSAP. </w:t>
      </w:r>
    </w:p>
  </w:footnote>
  <w:footnote w:id="18">
    <w:p w14:paraId="395533D5" w14:textId="57E5610F" w:rsidR="000F5FA2" w:rsidRPr="005462DF" w:rsidRDefault="000F5FA2">
      <w:pPr>
        <w:pStyle w:val="FootnoteText"/>
      </w:pPr>
      <w:r>
        <w:rPr>
          <w:rStyle w:val="FootnoteReference"/>
        </w:rPr>
        <w:footnoteRef/>
      </w:r>
      <w:r>
        <w:t xml:space="preserve"> </w:t>
      </w:r>
      <w:r>
        <w:tab/>
      </w:r>
      <w:r>
        <w:rPr>
          <w:lang w:val="pt-PT"/>
        </w:rPr>
        <w:t xml:space="preserve">FATF (2013a), paragraph 10. </w:t>
      </w:r>
      <w:r>
        <w:t xml:space="preserve">See also Section I D for further detail on identifying and assessing ML/TF risk. Also refers to </w:t>
      </w:r>
      <w:r w:rsidRPr="002526DF">
        <w:t>The FATF Guidance on National Money Laundering and Terrorist Financing Risk Assessment (February 2013</w:t>
      </w:r>
      <w:r>
        <w:t>).</w:t>
      </w:r>
    </w:p>
  </w:footnote>
  <w:footnote w:id="19">
    <w:p w14:paraId="1FAB98CC" w14:textId="5ED05E2B" w:rsidR="000F5FA2" w:rsidRDefault="000F5FA2">
      <w:pPr>
        <w:pStyle w:val="FootnoteText"/>
      </w:pPr>
      <w:r>
        <w:rPr>
          <w:rStyle w:val="FootnoteReference"/>
        </w:rPr>
        <w:footnoteRef/>
      </w:r>
      <w:r>
        <w:t xml:space="preserve"> </w:t>
      </w:r>
      <w:r>
        <w:tab/>
      </w:r>
      <w:r>
        <w:rPr>
          <w:lang w:val="en-US"/>
        </w:rPr>
        <w:t>Subject to the national legal framework providing for Simplified Due Diligence</w:t>
      </w:r>
      <w:r w:rsidR="00BC1B4A">
        <w:rPr>
          <w:lang w:val="en-US"/>
        </w:rPr>
        <w:t>.</w:t>
      </w:r>
    </w:p>
  </w:footnote>
  <w:footnote w:id="20">
    <w:p w14:paraId="0C8A7836" w14:textId="72F4B207" w:rsidR="000F5FA2" w:rsidRPr="005462DF" w:rsidRDefault="000F5FA2">
      <w:pPr>
        <w:pStyle w:val="FootnoteText"/>
      </w:pPr>
      <w:r>
        <w:rPr>
          <w:rStyle w:val="FootnoteReference"/>
        </w:rPr>
        <w:footnoteRef/>
      </w:r>
      <w:r>
        <w:t xml:space="preserve"> </w:t>
      </w:r>
      <w:r>
        <w:tab/>
      </w:r>
      <w:r>
        <w:rPr>
          <w:lang w:val="en-US"/>
        </w:rPr>
        <w:t>For example, R.22 on Customer Due Diligence.</w:t>
      </w:r>
      <w:r>
        <w:t xml:space="preserve"> </w:t>
      </w:r>
    </w:p>
  </w:footnote>
  <w:footnote w:id="21">
    <w:p w14:paraId="2AD7D318" w14:textId="474CBB7D" w:rsidR="000F5FA2" w:rsidRDefault="000F5FA2">
      <w:pPr>
        <w:pStyle w:val="FootnoteText"/>
      </w:pPr>
      <w:r>
        <w:rPr>
          <w:rStyle w:val="FootnoteReference"/>
        </w:rPr>
        <w:footnoteRef/>
      </w:r>
      <w:r>
        <w:t xml:space="preserve"> </w:t>
      </w:r>
      <w:r>
        <w:tab/>
        <w:t>Including products, transactions or delivery channels.</w:t>
      </w:r>
    </w:p>
  </w:footnote>
  <w:footnote w:id="22">
    <w:p w14:paraId="193DA139" w14:textId="7AA5F492" w:rsidR="000F5FA2" w:rsidRDefault="000F5FA2">
      <w:pPr>
        <w:pStyle w:val="FootnoteText"/>
      </w:pPr>
      <w:r>
        <w:rPr>
          <w:rStyle w:val="FootnoteReference"/>
        </w:rPr>
        <w:footnoteRef/>
      </w:r>
      <w:r>
        <w:t xml:space="preserve"> </w:t>
      </w:r>
      <w:r>
        <w:tab/>
        <w:t>“Credible sources” refers to information that is produced by reputable and universally recognised international organisations and other bodies that make such information publicly and widely available. In addition to the FATF and FATF-style regional bodies, such sources may include, but are not limited to, supra-national or international bodies such as the International Monetary Fund, the World Bank and the Egmont Group of Financial Intelligence Units.</w:t>
      </w:r>
    </w:p>
  </w:footnote>
  <w:footnote w:id="23">
    <w:p w14:paraId="42556EC6" w14:textId="416581B2" w:rsidR="000F5FA2" w:rsidRPr="00A404A5" w:rsidRDefault="000F5FA2" w:rsidP="00A404A5">
      <w:pPr>
        <w:pStyle w:val="FootnoteText"/>
        <w:ind w:left="709"/>
        <w:rPr>
          <w:rFonts w:eastAsia="Times New Roman"/>
          <w:lang w:eastAsia="en-GB"/>
        </w:rPr>
      </w:pPr>
      <w:r>
        <w:rPr>
          <w:rStyle w:val="FootnoteReference"/>
        </w:rPr>
        <w:footnoteRef/>
      </w:r>
      <w:r>
        <w:t xml:space="preserve"> </w:t>
      </w:r>
      <w:r>
        <w:tab/>
        <w:t>Paragraph 8 of INR.1.</w:t>
      </w:r>
    </w:p>
  </w:footnote>
  <w:footnote w:id="24">
    <w:p w14:paraId="06D788D4" w14:textId="61BF86DA" w:rsidR="000F5FA2" w:rsidRDefault="000F5FA2" w:rsidP="002D5476">
      <w:pPr>
        <w:pStyle w:val="FootnoteText"/>
      </w:pPr>
      <w:r>
        <w:rPr>
          <w:rStyle w:val="FootnoteReference"/>
        </w:rPr>
        <w:footnoteRef/>
      </w:r>
      <w:r>
        <w:t xml:space="preserve"> </w:t>
      </w:r>
      <w:r>
        <w:tab/>
      </w:r>
      <w:r w:rsidRPr="002E7FC9">
        <w:t>See INR 28.1.</w:t>
      </w:r>
    </w:p>
  </w:footnote>
  <w:footnote w:id="25">
    <w:p w14:paraId="2387E45A" w14:textId="5155BD37" w:rsidR="000F5FA2" w:rsidRDefault="000F5FA2" w:rsidP="002D5476">
      <w:pPr>
        <w:pStyle w:val="FootnoteText"/>
        <w:ind w:left="709"/>
      </w:pPr>
      <w:r>
        <w:rPr>
          <w:rStyle w:val="FootnoteReference"/>
        </w:rPr>
        <w:footnoteRef/>
      </w:r>
      <w:r>
        <w:t xml:space="preserve"> </w:t>
      </w:r>
      <w:r>
        <w:tab/>
      </w:r>
      <w:r w:rsidRPr="00C06883">
        <w:t>Such as the FATF, the Organisation for Economic Co-operation and Development (OECD), the World Bank, the IMF and the United Nations Office on Drugs and Crime (UNODC).</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8861C6" w14:textId="7451D6BD" w:rsidR="000F5FA2" w:rsidRPr="00C51858" w:rsidRDefault="00AA0A82" w:rsidP="004344DD">
    <w:pPr>
      <w:pStyle w:val="HeaderEven"/>
      <w:rPr>
        <w:rStyle w:val="HeaderTitle"/>
        <w:lang w:val="en-GB"/>
      </w:rPr>
    </w:pPr>
    <w:sdt>
      <w:sdtPr>
        <w:rPr>
          <w:rStyle w:val="PageNumber"/>
        </w:rPr>
        <w:alias w:val="Page Number"/>
        <w:tag w:val="TxtPageNumber"/>
        <w:id w:val="1501461492"/>
        <w:lock w:val="sdtLocked"/>
      </w:sdtPr>
      <w:sdtEndPr>
        <w:rPr>
          <w:rStyle w:val="PageNumber"/>
        </w:rPr>
      </w:sdtEndPr>
      <w:sdtContent>
        <w:r w:rsidR="000F5FA2" w:rsidRPr="00F72BD4">
          <w:rPr>
            <w:rStyle w:val="PageNumber"/>
          </w:rPr>
          <w:fldChar w:fldCharType="begin"/>
        </w:r>
        <w:r w:rsidR="000F5FA2" w:rsidRPr="005C1A9B">
          <w:rPr>
            <w:rStyle w:val="PageNumber"/>
            <w:lang w:val="en-GB"/>
          </w:rPr>
          <w:instrText xml:space="preserve"> PAGE   \* MERGEFORMAT </w:instrText>
        </w:r>
        <w:r w:rsidR="000F5FA2" w:rsidRPr="00F72BD4">
          <w:rPr>
            <w:rStyle w:val="PageNumber"/>
          </w:rPr>
          <w:fldChar w:fldCharType="separate"/>
        </w:r>
        <w:r>
          <w:rPr>
            <w:rStyle w:val="PageNumber"/>
            <w:noProof/>
            <w:lang w:val="en-GB"/>
          </w:rPr>
          <w:t>2</w:t>
        </w:r>
        <w:r w:rsidR="000F5FA2" w:rsidRPr="00F72BD4">
          <w:rPr>
            <w:rStyle w:val="PageNumber"/>
            <w:noProof/>
          </w:rPr>
          <w:fldChar w:fldCharType="end"/>
        </w:r>
      </w:sdtContent>
    </w:sdt>
    <w:r w:rsidR="000F5FA2" w:rsidRPr="002C6328">
      <w:rPr>
        <w:rStyle w:val="PageNumber"/>
        <w:lang w:val="en-GB"/>
      </w:rPr>
      <w:t xml:space="preserve"> </w:t>
    </w:r>
    <w:r w:rsidR="000F5FA2" w:rsidRPr="002C6328">
      <w:rPr>
        <w:rStyle w:val="PageNumber"/>
        <w:rFonts w:ascii="Courier New" w:hAnsi="Courier New" w:cs="Courier New"/>
        <w:lang w:val="en-GB"/>
      </w:rPr>
      <w:t xml:space="preserve">│ </w:t>
    </w:r>
    <w:sdt>
      <w:sdtPr>
        <w:rPr>
          <w:rStyle w:val="HeaderTitle"/>
          <w:lang w:val="en-GB"/>
        </w:rPr>
        <w:alias w:val="Cote/Chapter"/>
        <w:tag w:val="txtHeaderValue"/>
        <w:id w:val="1481419076"/>
        <w:lock w:val="sdtLocked"/>
        <w:text/>
      </w:sdtPr>
      <w:sdtEndPr>
        <w:rPr>
          <w:rStyle w:val="HeaderTitle"/>
        </w:rPr>
      </w:sdtEndPr>
      <w:sdtContent>
        <w:r w:rsidR="000F5FA2" w:rsidRPr="005C1A9B">
          <w:rPr>
            <w:rStyle w:val="HeaderTitle"/>
            <w:lang w:val="en-GB"/>
          </w:rPr>
          <w:t>PUBLIC CONSULTATION ON THE DRAFT RISK-BASED APPROACH GUIDANCE FOR TCSP</w:t>
        </w:r>
      </w:sdtContent>
    </w:sdt>
  </w:p>
  <w:p w14:paraId="3E1BC9BD" w14:textId="77777777" w:rsidR="000F5FA2" w:rsidRPr="002C6328" w:rsidRDefault="000F5FA2" w:rsidP="004344DD">
    <w:pPr>
      <w:pStyle w:val="HeaderEven"/>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470397" w14:textId="3EA8EE4B" w:rsidR="000F5FA2" w:rsidRPr="005C1A9B" w:rsidRDefault="00AA0A82" w:rsidP="004344DD">
    <w:pPr>
      <w:pStyle w:val="HeaderOdd"/>
      <w:rPr>
        <w:rStyle w:val="PageNumber"/>
        <w:noProof/>
        <w:lang w:val="en-GB"/>
      </w:rPr>
    </w:pPr>
    <w:sdt>
      <w:sdtPr>
        <w:rPr>
          <w:rStyle w:val="HeaderTitle"/>
          <w:lang w:val="en-GB"/>
        </w:rPr>
        <w:alias w:val="Cote/Chapter"/>
        <w:tag w:val="txtHeaderValue"/>
        <w:id w:val="-1097175756"/>
        <w:lock w:val="sdtLocked"/>
        <w:text/>
      </w:sdtPr>
      <w:sdtEndPr>
        <w:rPr>
          <w:rStyle w:val="HeaderTitle"/>
        </w:rPr>
      </w:sdtEndPr>
      <w:sdtContent>
        <w:r w:rsidR="000F5FA2" w:rsidRPr="005C1A9B">
          <w:rPr>
            <w:rStyle w:val="HeaderTitle"/>
            <w:lang w:val="en-GB"/>
          </w:rPr>
          <w:t xml:space="preserve">PUBLIC CONSULTATION ON THE DRAFT RISK-BASED APPROACH GUIDANCE FOR </w:t>
        </w:r>
        <w:r w:rsidR="000F5FA2">
          <w:rPr>
            <w:rStyle w:val="HeaderTitle"/>
            <w:lang w:val="en-GB"/>
          </w:rPr>
          <w:t>TCSP</w:t>
        </w:r>
      </w:sdtContent>
    </w:sdt>
    <w:r w:rsidR="000F5FA2" w:rsidRPr="005C1A9B">
      <w:rPr>
        <w:rStyle w:val="PageNumber"/>
        <w:rFonts w:ascii="Courier New" w:hAnsi="Courier New" w:cs="Courier New"/>
        <w:lang w:val="en-GB"/>
      </w:rPr>
      <w:t xml:space="preserve"> │</w:t>
    </w:r>
    <w:r w:rsidR="000F5FA2" w:rsidRPr="005C1A9B">
      <w:rPr>
        <w:rStyle w:val="PageNumber"/>
        <w:lang w:val="en-GB"/>
      </w:rPr>
      <w:t xml:space="preserve"> </w:t>
    </w:r>
    <w:sdt>
      <w:sdtPr>
        <w:rPr>
          <w:rStyle w:val="PageNumber"/>
        </w:rPr>
        <w:alias w:val="Page Number"/>
        <w:tag w:val="TxtPageNumber"/>
        <w:id w:val="981266131"/>
        <w:lock w:val="sdtLocked"/>
      </w:sdtPr>
      <w:sdtEndPr>
        <w:rPr>
          <w:rStyle w:val="PageNumber"/>
        </w:rPr>
      </w:sdtEndPr>
      <w:sdtContent>
        <w:r w:rsidR="000F5FA2" w:rsidRPr="00F72BD4">
          <w:rPr>
            <w:rStyle w:val="PageNumber"/>
          </w:rPr>
          <w:fldChar w:fldCharType="begin"/>
        </w:r>
        <w:r w:rsidR="000F5FA2" w:rsidRPr="005C1A9B">
          <w:rPr>
            <w:rStyle w:val="PageNumber"/>
            <w:lang w:val="en-GB"/>
          </w:rPr>
          <w:instrText xml:space="preserve"> PAGE   \* MERGEFORMAT </w:instrText>
        </w:r>
        <w:r w:rsidR="000F5FA2" w:rsidRPr="00F72BD4">
          <w:rPr>
            <w:rStyle w:val="PageNumber"/>
          </w:rPr>
          <w:fldChar w:fldCharType="separate"/>
        </w:r>
        <w:r>
          <w:rPr>
            <w:rStyle w:val="PageNumber"/>
            <w:noProof/>
            <w:lang w:val="en-GB"/>
          </w:rPr>
          <w:t>1</w:t>
        </w:r>
        <w:r w:rsidR="000F5FA2" w:rsidRPr="00F72BD4">
          <w:rPr>
            <w:rStyle w:val="PageNumber"/>
            <w:noProof/>
          </w:rPr>
          <w:fldChar w:fldCharType="end"/>
        </w:r>
      </w:sdtContent>
    </w:sdt>
  </w:p>
  <w:p w14:paraId="236183E9" w14:textId="77777777" w:rsidR="000F5FA2" w:rsidRPr="005C1A9B" w:rsidRDefault="000F5FA2" w:rsidP="004344DD">
    <w:pPr>
      <w:pStyle w:val="HeaderOdd"/>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253B5"/>
    <w:multiLevelType w:val="hybridMultilevel"/>
    <w:tmpl w:val="2268335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 w15:restartNumberingAfterBreak="0">
    <w:nsid w:val="019841F3"/>
    <w:multiLevelType w:val="hybridMultilevel"/>
    <w:tmpl w:val="96BACBF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 w15:restartNumberingAfterBreak="0">
    <w:nsid w:val="03674889"/>
    <w:multiLevelType w:val="hybridMultilevel"/>
    <w:tmpl w:val="D3DAD7A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 w15:restartNumberingAfterBreak="0">
    <w:nsid w:val="044C15E6"/>
    <w:multiLevelType w:val="hybridMultilevel"/>
    <w:tmpl w:val="97D2DB2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 w15:restartNumberingAfterBreak="0">
    <w:nsid w:val="04C106DD"/>
    <w:multiLevelType w:val="hybridMultilevel"/>
    <w:tmpl w:val="DA2C730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 w15:restartNumberingAfterBreak="0">
    <w:nsid w:val="05621E11"/>
    <w:multiLevelType w:val="hybridMultilevel"/>
    <w:tmpl w:val="72F0FD7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 w15:restartNumberingAfterBreak="0">
    <w:nsid w:val="05ED0645"/>
    <w:multiLevelType w:val="hybridMultilevel"/>
    <w:tmpl w:val="8FBE074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 w15:restartNumberingAfterBreak="0">
    <w:nsid w:val="074E6A96"/>
    <w:multiLevelType w:val="hybridMultilevel"/>
    <w:tmpl w:val="73501D2A"/>
    <w:lvl w:ilvl="0" w:tplc="0809001B">
      <w:start w:val="1"/>
      <w:numFmt w:val="lowerRoman"/>
      <w:lvlText w:val="%1."/>
      <w:lvlJc w:val="righ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 w15:restartNumberingAfterBreak="0">
    <w:nsid w:val="07852F62"/>
    <w:multiLevelType w:val="hybridMultilevel"/>
    <w:tmpl w:val="F16EAB5A"/>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F19A3028">
      <w:start w:val="1"/>
      <w:numFmt w:val="lowerRoman"/>
      <w:lvlText w:val="%3."/>
      <w:lvlJc w:val="left"/>
      <w:pPr>
        <w:tabs>
          <w:tab w:val="num" w:pos="340"/>
        </w:tabs>
        <w:ind w:left="2041" w:hanging="340"/>
      </w:pPr>
      <w:rPr>
        <w:rFonts w:hint="default"/>
        <w:b w:val="0"/>
        <w:i w:val="0"/>
        <w:color w:val="auto"/>
        <w:sz w:val="22"/>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 w15:restartNumberingAfterBreak="0">
    <w:nsid w:val="07AD160C"/>
    <w:multiLevelType w:val="hybridMultilevel"/>
    <w:tmpl w:val="FA925380"/>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15:restartNumberingAfterBreak="0">
    <w:nsid w:val="07B00E5F"/>
    <w:multiLevelType w:val="hybridMultilevel"/>
    <w:tmpl w:val="08B2DC28"/>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 w15:restartNumberingAfterBreak="0">
    <w:nsid w:val="07F90F62"/>
    <w:multiLevelType w:val="singleLevel"/>
    <w:tmpl w:val="CE5058AE"/>
    <w:lvl w:ilvl="0">
      <w:start w:val="1"/>
      <w:numFmt w:val="bullet"/>
      <w:pStyle w:val="ListBullet"/>
      <w:lvlText w:val="·"/>
      <w:lvlJc w:val="left"/>
      <w:pPr>
        <w:tabs>
          <w:tab w:val="num" w:pos="850"/>
        </w:tabs>
        <w:ind w:left="850" w:hanging="408"/>
      </w:pPr>
      <w:rPr>
        <w:rFonts w:ascii="Symbol" w:hAnsi="Symbol" w:cs="Times New Roman" w:hint="default"/>
        <w:b w:val="0"/>
        <w:i w:val="0"/>
        <w:sz w:val="22"/>
      </w:rPr>
    </w:lvl>
  </w:abstractNum>
  <w:abstractNum w:abstractNumId="12" w15:restartNumberingAfterBreak="0">
    <w:nsid w:val="08E90370"/>
    <w:multiLevelType w:val="hybridMultilevel"/>
    <w:tmpl w:val="22CA283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 w15:restartNumberingAfterBreak="0">
    <w:nsid w:val="0A0221DB"/>
    <w:multiLevelType w:val="hybridMultilevel"/>
    <w:tmpl w:val="3C285E2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 w15:restartNumberingAfterBreak="0">
    <w:nsid w:val="0BB37F27"/>
    <w:multiLevelType w:val="hybridMultilevel"/>
    <w:tmpl w:val="9D809EA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 w15:restartNumberingAfterBreak="0">
    <w:nsid w:val="0C890C55"/>
    <w:multiLevelType w:val="singleLevel"/>
    <w:tmpl w:val="15B65924"/>
    <w:name w:val="templateBulletBox3"/>
    <w:lvl w:ilvl="0">
      <w:start w:val="1"/>
      <w:numFmt w:val="bullet"/>
      <w:lvlText w:val="-"/>
      <w:lvlJc w:val="left"/>
      <w:pPr>
        <w:tabs>
          <w:tab w:val="num" w:pos="1474"/>
        </w:tabs>
        <w:ind w:left="1474" w:hanging="340"/>
      </w:pPr>
      <w:rPr>
        <w:rFonts w:ascii="Symbol" w:hAnsi="Symbol" w:cs="Times New Roman" w:hint="default"/>
        <w:b w:val="0"/>
        <w:i w:val="0"/>
        <w:sz w:val="22"/>
      </w:rPr>
    </w:lvl>
  </w:abstractNum>
  <w:abstractNum w:abstractNumId="16" w15:restartNumberingAfterBreak="0">
    <w:nsid w:val="0CBE0FF0"/>
    <w:multiLevelType w:val="singleLevel"/>
    <w:tmpl w:val="30A47C7E"/>
    <w:styleLink w:val="BulletedNote"/>
    <w:lvl w:ilvl="0">
      <w:start w:val="1"/>
      <w:numFmt w:val="bullet"/>
      <w:lvlText w:val="·"/>
      <w:lvlJc w:val="left"/>
      <w:pPr>
        <w:tabs>
          <w:tab w:val="num" w:pos="283"/>
        </w:tabs>
        <w:ind w:left="283" w:hanging="283"/>
      </w:pPr>
      <w:rPr>
        <w:rFonts w:ascii="Times New Roman" w:hAnsi="Times New Roman" w:cs="Times New Roman"/>
        <w:b w:val="0"/>
        <w:i w:val="0"/>
        <w:sz w:val="22"/>
      </w:rPr>
    </w:lvl>
  </w:abstractNum>
  <w:abstractNum w:abstractNumId="17" w15:restartNumberingAfterBreak="0">
    <w:nsid w:val="0D041716"/>
    <w:multiLevelType w:val="hybridMultilevel"/>
    <w:tmpl w:val="AA74C5F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8" w15:restartNumberingAfterBreak="0">
    <w:nsid w:val="0DEA6B1D"/>
    <w:multiLevelType w:val="singleLevel"/>
    <w:tmpl w:val="D5A6E36A"/>
    <w:styleLink w:val="NumericNote"/>
    <w:lvl w:ilvl="0">
      <w:start w:val="1"/>
      <w:numFmt w:val="decimal"/>
      <w:lvlText w:val="%1."/>
      <w:lvlJc w:val="left"/>
      <w:pPr>
        <w:tabs>
          <w:tab w:val="num" w:pos="408"/>
        </w:tabs>
        <w:ind w:left="408" w:hanging="408"/>
      </w:pPr>
    </w:lvl>
  </w:abstractNum>
  <w:abstractNum w:abstractNumId="19" w15:restartNumberingAfterBreak="0">
    <w:nsid w:val="0E21375D"/>
    <w:multiLevelType w:val="hybridMultilevel"/>
    <w:tmpl w:val="D21637B0"/>
    <w:lvl w:ilvl="0" w:tplc="A52AE5A0">
      <w:start w:val="1"/>
      <w:numFmt w:val="bullet"/>
      <w:pStyle w:val="BL2"/>
      <w:lvlText w:val="o"/>
      <w:lvlJc w:val="left"/>
      <w:pPr>
        <w:ind w:left="2421" w:hanging="360"/>
      </w:pPr>
      <w:rPr>
        <w:rFonts w:ascii="Courier New" w:hAnsi="Courier New" w:cs="Courier New"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20" w15:restartNumberingAfterBreak="0">
    <w:nsid w:val="0E267D45"/>
    <w:multiLevelType w:val="hybridMultilevel"/>
    <w:tmpl w:val="1BB2C6D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1" w15:restartNumberingAfterBreak="0">
    <w:nsid w:val="0EB27D49"/>
    <w:multiLevelType w:val="hybridMultilevel"/>
    <w:tmpl w:val="8F88D68A"/>
    <w:lvl w:ilvl="0" w:tplc="288608E8">
      <w:start w:val="1"/>
      <w:numFmt w:val="lowerLetter"/>
      <w:lvlText w:val="%1)"/>
      <w:lvlJc w:val="left"/>
      <w:pPr>
        <w:ind w:left="1544" w:hanging="360"/>
      </w:pPr>
      <w:rPr>
        <w:rFonts w:ascii="Times New Roman" w:hAnsi="Times New Roman" w:cs="Times New Roman" w:hint="default"/>
        <w:b w:val="0"/>
      </w:rPr>
    </w:lvl>
    <w:lvl w:ilvl="1" w:tplc="08090019" w:tentative="1">
      <w:start w:val="1"/>
      <w:numFmt w:val="lowerLetter"/>
      <w:lvlText w:val="%2."/>
      <w:lvlJc w:val="left"/>
      <w:pPr>
        <w:ind w:left="2264" w:hanging="360"/>
      </w:pPr>
    </w:lvl>
    <w:lvl w:ilvl="2" w:tplc="0809001B" w:tentative="1">
      <w:start w:val="1"/>
      <w:numFmt w:val="lowerRoman"/>
      <w:lvlText w:val="%3."/>
      <w:lvlJc w:val="right"/>
      <w:pPr>
        <w:ind w:left="2984" w:hanging="180"/>
      </w:pPr>
    </w:lvl>
    <w:lvl w:ilvl="3" w:tplc="0809000F" w:tentative="1">
      <w:start w:val="1"/>
      <w:numFmt w:val="decimal"/>
      <w:lvlText w:val="%4."/>
      <w:lvlJc w:val="left"/>
      <w:pPr>
        <w:ind w:left="3704" w:hanging="360"/>
      </w:pPr>
    </w:lvl>
    <w:lvl w:ilvl="4" w:tplc="08090019" w:tentative="1">
      <w:start w:val="1"/>
      <w:numFmt w:val="lowerLetter"/>
      <w:lvlText w:val="%5."/>
      <w:lvlJc w:val="left"/>
      <w:pPr>
        <w:ind w:left="4424" w:hanging="360"/>
      </w:pPr>
    </w:lvl>
    <w:lvl w:ilvl="5" w:tplc="0809001B" w:tentative="1">
      <w:start w:val="1"/>
      <w:numFmt w:val="lowerRoman"/>
      <w:lvlText w:val="%6."/>
      <w:lvlJc w:val="right"/>
      <w:pPr>
        <w:ind w:left="5144" w:hanging="180"/>
      </w:pPr>
    </w:lvl>
    <w:lvl w:ilvl="6" w:tplc="0809000F" w:tentative="1">
      <w:start w:val="1"/>
      <w:numFmt w:val="decimal"/>
      <w:lvlText w:val="%7."/>
      <w:lvlJc w:val="left"/>
      <w:pPr>
        <w:ind w:left="5864" w:hanging="360"/>
      </w:pPr>
    </w:lvl>
    <w:lvl w:ilvl="7" w:tplc="08090019" w:tentative="1">
      <w:start w:val="1"/>
      <w:numFmt w:val="lowerLetter"/>
      <w:lvlText w:val="%8."/>
      <w:lvlJc w:val="left"/>
      <w:pPr>
        <w:ind w:left="6584" w:hanging="360"/>
      </w:pPr>
    </w:lvl>
    <w:lvl w:ilvl="8" w:tplc="0809001B" w:tentative="1">
      <w:start w:val="1"/>
      <w:numFmt w:val="lowerRoman"/>
      <w:lvlText w:val="%9."/>
      <w:lvlJc w:val="right"/>
      <w:pPr>
        <w:ind w:left="7304" w:hanging="180"/>
      </w:pPr>
    </w:lvl>
  </w:abstractNum>
  <w:abstractNum w:abstractNumId="22" w15:restartNumberingAfterBreak="0">
    <w:nsid w:val="0F0B3EAC"/>
    <w:multiLevelType w:val="hybridMultilevel"/>
    <w:tmpl w:val="BBB6CA46"/>
    <w:lvl w:ilvl="0" w:tplc="9072D7BA">
      <w:start w:val="1"/>
      <w:numFmt w:val="bullet"/>
      <w:pStyle w:val="GroupHeading"/>
      <w:lvlText w:val="►"/>
      <w:lvlJc w:val="left"/>
      <w:pPr>
        <w:ind w:left="357" w:hanging="357"/>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0F707EF5"/>
    <w:multiLevelType w:val="hybridMultilevel"/>
    <w:tmpl w:val="ADF06128"/>
    <w:lvl w:ilvl="0" w:tplc="0809001B">
      <w:start w:val="1"/>
      <w:numFmt w:val="lowerRoman"/>
      <w:lvlText w:val="%1."/>
      <w:lvlJc w:val="righ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4" w15:restartNumberingAfterBreak="0">
    <w:nsid w:val="0FF134AA"/>
    <w:multiLevelType w:val="hybridMultilevel"/>
    <w:tmpl w:val="336E6EA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5" w15:restartNumberingAfterBreak="0">
    <w:nsid w:val="110D5190"/>
    <w:multiLevelType w:val="hybridMultilevel"/>
    <w:tmpl w:val="981E60D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15:restartNumberingAfterBreak="0">
    <w:nsid w:val="11243748"/>
    <w:multiLevelType w:val="hybridMultilevel"/>
    <w:tmpl w:val="ED5EEAB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7" w15:restartNumberingAfterBreak="0">
    <w:nsid w:val="125D2E5F"/>
    <w:multiLevelType w:val="hybridMultilevel"/>
    <w:tmpl w:val="7EAC1C1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8" w15:restartNumberingAfterBreak="0">
    <w:nsid w:val="12FE4AF5"/>
    <w:multiLevelType w:val="singleLevel"/>
    <w:tmpl w:val="B882C7F8"/>
    <w:styleLink w:val="NumberedNote"/>
    <w:lvl w:ilvl="0">
      <w:start w:val="1"/>
      <w:numFmt w:val="decimal"/>
      <w:lvlText w:val="%1."/>
      <w:lvlJc w:val="left"/>
      <w:pPr>
        <w:tabs>
          <w:tab w:val="num" w:pos="171"/>
        </w:tabs>
        <w:ind w:left="171" w:hanging="171"/>
      </w:pPr>
    </w:lvl>
  </w:abstractNum>
  <w:abstractNum w:abstractNumId="29" w15:restartNumberingAfterBreak="0">
    <w:nsid w:val="13B81BF3"/>
    <w:multiLevelType w:val="hybridMultilevel"/>
    <w:tmpl w:val="8F88D68A"/>
    <w:lvl w:ilvl="0" w:tplc="288608E8">
      <w:start w:val="1"/>
      <w:numFmt w:val="lowerLetter"/>
      <w:lvlText w:val="%1)"/>
      <w:lvlJc w:val="left"/>
      <w:pPr>
        <w:ind w:left="1400" w:hanging="360"/>
      </w:pPr>
      <w:rPr>
        <w:rFonts w:ascii="Times New Roman" w:hAnsi="Times New Roman" w:cs="Times New Roman" w:hint="default"/>
        <w:b w:val="0"/>
      </w:rPr>
    </w:lvl>
    <w:lvl w:ilvl="1" w:tplc="08090019" w:tentative="1">
      <w:start w:val="1"/>
      <w:numFmt w:val="lowerLetter"/>
      <w:lvlText w:val="%2."/>
      <w:lvlJc w:val="left"/>
      <w:pPr>
        <w:ind w:left="2120" w:hanging="360"/>
      </w:pPr>
    </w:lvl>
    <w:lvl w:ilvl="2" w:tplc="0809001B" w:tentative="1">
      <w:start w:val="1"/>
      <w:numFmt w:val="lowerRoman"/>
      <w:lvlText w:val="%3."/>
      <w:lvlJc w:val="right"/>
      <w:pPr>
        <w:ind w:left="2840" w:hanging="180"/>
      </w:pPr>
    </w:lvl>
    <w:lvl w:ilvl="3" w:tplc="0809000F" w:tentative="1">
      <w:start w:val="1"/>
      <w:numFmt w:val="decimal"/>
      <w:lvlText w:val="%4."/>
      <w:lvlJc w:val="left"/>
      <w:pPr>
        <w:ind w:left="3560" w:hanging="360"/>
      </w:pPr>
    </w:lvl>
    <w:lvl w:ilvl="4" w:tplc="08090019" w:tentative="1">
      <w:start w:val="1"/>
      <w:numFmt w:val="lowerLetter"/>
      <w:lvlText w:val="%5."/>
      <w:lvlJc w:val="left"/>
      <w:pPr>
        <w:ind w:left="4280" w:hanging="360"/>
      </w:pPr>
    </w:lvl>
    <w:lvl w:ilvl="5" w:tplc="0809001B" w:tentative="1">
      <w:start w:val="1"/>
      <w:numFmt w:val="lowerRoman"/>
      <w:lvlText w:val="%6."/>
      <w:lvlJc w:val="right"/>
      <w:pPr>
        <w:ind w:left="5000" w:hanging="180"/>
      </w:pPr>
    </w:lvl>
    <w:lvl w:ilvl="6" w:tplc="0809000F" w:tentative="1">
      <w:start w:val="1"/>
      <w:numFmt w:val="decimal"/>
      <w:lvlText w:val="%7."/>
      <w:lvlJc w:val="left"/>
      <w:pPr>
        <w:ind w:left="5720" w:hanging="360"/>
      </w:pPr>
    </w:lvl>
    <w:lvl w:ilvl="7" w:tplc="08090019" w:tentative="1">
      <w:start w:val="1"/>
      <w:numFmt w:val="lowerLetter"/>
      <w:lvlText w:val="%8."/>
      <w:lvlJc w:val="left"/>
      <w:pPr>
        <w:ind w:left="6440" w:hanging="360"/>
      </w:pPr>
    </w:lvl>
    <w:lvl w:ilvl="8" w:tplc="0809001B" w:tentative="1">
      <w:start w:val="1"/>
      <w:numFmt w:val="lowerRoman"/>
      <w:lvlText w:val="%9."/>
      <w:lvlJc w:val="right"/>
      <w:pPr>
        <w:ind w:left="7160" w:hanging="180"/>
      </w:pPr>
    </w:lvl>
  </w:abstractNum>
  <w:abstractNum w:abstractNumId="30" w15:restartNumberingAfterBreak="0">
    <w:nsid w:val="144125E0"/>
    <w:multiLevelType w:val="hybridMultilevel"/>
    <w:tmpl w:val="788E71F6"/>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1" w15:restartNumberingAfterBreak="0">
    <w:nsid w:val="15C60396"/>
    <w:multiLevelType w:val="hybridMultilevel"/>
    <w:tmpl w:val="97D2F06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2" w15:restartNumberingAfterBreak="0">
    <w:nsid w:val="16864190"/>
    <w:multiLevelType w:val="hybridMultilevel"/>
    <w:tmpl w:val="0420B48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3" w15:restartNumberingAfterBreak="0">
    <w:nsid w:val="18924D42"/>
    <w:multiLevelType w:val="singleLevel"/>
    <w:tmpl w:val="10807284"/>
    <w:lvl w:ilvl="0">
      <w:start w:val="1"/>
      <w:numFmt w:val="decimal"/>
      <w:pStyle w:val="Para"/>
      <w:lvlText w:val="%1."/>
      <w:lvlJc w:val="left"/>
      <w:pPr>
        <w:tabs>
          <w:tab w:val="num" w:pos="680"/>
        </w:tabs>
        <w:ind w:left="680"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color w:val="auto"/>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34" w15:restartNumberingAfterBreak="0">
    <w:nsid w:val="199C3D0A"/>
    <w:multiLevelType w:val="hybridMultilevel"/>
    <w:tmpl w:val="95CC2060"/>
    <w:lvl w:ilvl="0" w:tplc="626AEE14">
      <w:start w:val="1"/>
      <w:numFmt w:val="bullet"/>
      <w:lvlText w:val="-"/>
      <w:lvlJc w:val="left"/>
      <w:pPr>
        <w:ind w:left="2421" w:hanging="360"/>
      </w:pPr>
      <w:rPr>
        <w:rFonts w:ascii="Courier New" w:hAnsi="Courier New" w:hint="default"/>
      </w:rPr>
    </w:lvl>
    <w:lvl w:ilvl="1" w:tplc="87DA35FC">
      <w:start w:val="1"/>
      <w:numFmt w:val="bullet"/>
      <w:pStyle w:val="BL4"/>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A9B6F29"/>
    <w:multiLevelType w:val="hybridMultilevel"/>
    <w:tmpl w:val="6F2A2D0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6" w15:restartNumberingAfterBreak="0">
    <w:nsid w:val="1BC05336"/>
    <w:multiLevelType w:val="hybridMultilevel"/>
    <w:tmpl w:val="30D0E63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7" w15:restartNumberingAfterBreak="0">
    <w:nsid w:val="1F541A90"/>
    <w:multiLevelType w:val="hybridMultilevel"/>
    <w:tmpl w:val="7AE8A9C8"/>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8" w15:restartNumberingAfterBreak="0">
    <w:nsid w:val="1FB17E86"/>
    <w:multiLevelType w:val="hybridMultilevel"/>
    <w:tmpl w:val="706EA19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15:restartNumberingAfterBreak="0">
    <w:nsid w:val="203835AD"/>
    <w:multiLevelType w:val="multilevel"/>
    <w:tmpl w:val="4FDC21F6"/>
    <w:styleLink w:val="1Paragraphlist"/>
    <w:lvl w:ilvl="0">
      <w:start w:val="1"/>
      <w:numFmt w:val="decimal"/>
      <w:lvlText w:val="%1."/>
      <w:lvlJc w:val="left"/>
      <w:pPr>
        <w:ind w:left="0" w:firstLine="0"/>
      </w:pPr>
      <w:rPr>
        <w:rFonts w:ascii="Georgia" w:eastAsiaTheme="minorHAnsi" w:hAnsi="Georgia" w:cstheme="minorBidi"/>
        <w:b w:val="0"/>
        <w:i w:val="0"/>
        <w:color w:val="auto"/>
        <w:sz w:val="20"/>
      </w:rPr>
    </w:lvl>
    <w:lvl w:ilvl="1">
      <w:start w:val="1"/>
      <w:numFmt w:val="lowerLetter"/>
      <w:lvlText w:val="%2."/>
      <w:lvlJc w:val="left"/>
      <w:pPr>
        <w:ind w:left="2007" w:hanging="360"/>
      </w:pPr>
      <w:rPr>
        <w:rFonts w:hint="default"/>
      </w:rPr>
    </w:lvl>
    <w:lvl w:ilvl="2">
      <w:start w:val="1"/>
      <w:numFmt w:val="lowerRoman"/>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40" w15:restartNumberingAfterBreak="0">
    <w:nsid w:val="21172D73"/>
    <w:multiLevelType w:val="hybridMultilevel"/>
    <w:tmpl w:val="A56C9A90"/>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1" w15:restartNumberingAfterBreak="0">
    <w:nsid w:val="21253607"/>
    <w:multiLevelType w:val="hybridMultilevel"/>
    <w:tmpl w:val="B904467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2" w15:restartNumberingAfterBreak="0">
    <w:nsid w:val="21561196"/>
    <w:multiLevelType w:val="hybridMultilevel"/>
    <w:tmpl w:val="9B02142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3" w15:restartNumberingAfterBreak="0">
    <w:nsid w:val="23037530"/>
    <w:multiLevelType w:val="hybridMultilevel"/>
    <w:tmpl w:val="EFAE9FE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4" w15:restartNumberingAfterBreak="0">
    <w:nsid w:val="24FC1975"/>
    <w:multiLevelType w:val="hybridMultilevel"/>
    <w:tmpl w:val="0A1C45C2"/>
    <w:lvl w:ilvl="0" w:tplc="90929FC8">
      <w:start w:val="1"/>
      <w:numFmt w:val="decimal"/>
      <w:pStyle w:val="NumberedList"/>
      <w:lvlText w:val="%1."/>
      <w:lvlJc w:val="left"/>
      <w:pPr>
        <w:ind w:left="1361" w:hanging="340"/>
      </w:pPr>
      <w:rPr>
        <w:rFonts w:hint="default"/>
      </w:rPr>
    </w:lvl>
    <w:lvl w:ilvl="1" w:tplc="D08ACE40">
      <w:start w:val="1"/>
      <w:numFmt w:val="lowerLetter"/>
      <w:lvlText w:val="%2."/>
      <w:lvlJc w:val="left"/>
      <w:pPr>
        <w:tabs>
          <w:tab w:val="num" w:pos="340"/>
        </w:tabs>
        <w:ind w:left="1701" w:hanging="340"/>
      </w:pPr>
      <w:rPr>
        <w:rFonts w:hint="default"/>
      </w:rPr>
    </w:lvl>
    <w:lvl w:ilvl="2" w:tplc="5C104A16">
      <w:start w:val="1"/>
      <w:numFmt w:val="lowerRoman"/>
      <w:lvlText w:val="%3."/>
      <w:lvlJc w:val="right"/>
      <w:pPr>
        <w:ind w:left="2041" w:hanging="227"/>
      </w:pPr>
      <w:rPr>
        <w:rFonts w:hint="default"/>
      </w:rPr>
    </w:lvl>
    <w:lvl w:ilvl="3" w:tplc="1D6C3F34">
      <w:start w:val="1"/>
      <w:numFmt w:val="lowerLetter"/>
      <w:lvlText w:val="%4)"/>
      <w:lvlJc w:val="left"/>
      <w:pPr>
        <w:tabs>
          <w:tab w:val="num" w:pos="340"/>
        </w:tabs>
        <w:ind w:left="2381" w:hanging="340"/>
      </w:pPr>
      <w:rPr>
        <w:rFonts w:hint="default"/>
      </w:rPr>
    </w:lvl>
    <w:lvl w:ilvl="4" w:tplc="E28834E8">
      <w:start w:val="1"/>
      <w:numFmt w:val="decimal"/>
      <w:lvlText w:val="%5)"/>
      <w:lvlJc w:val="left"/>
      <w:pPr>
        <w:tabs>
          <w:tab w:val="num" w:pos="340"/>
        </w:tabs>
        <w:ind w:left="2722" w:hanging="341"/>
      </w:pPr>
      <w:rPr>
        <w:rFonts w:hint="default"/>
      </w:rPr>
    </w:lvl>
    <w:lvl w:ilvl="5" w:tplc="0409001B" w:tentative="1">
      <w:start w:val="1"/>
      <w:numFmt w:val="lowerRoman"/>
      <w:lvlText w:val="%6."/>
      <w:lvlJc w:val="right"/>
      <w:pPr>
        <w:ind w:left="4774" w:hanging="180"/>
      </w:pPr>
    </w:lvl>
    <w:lvl w:ilvl="6" w:tplc="0409000F" w:tentative="1">
      <w:start w:val="1"/>
      <w:numFmt w:val="decimal"/>
      <w:lvlText w:val="%7."/>
      <w:lvlJc w:val="left"/>
      <w:pPr>
        <w:ind w:left="5494" w:hanging="360"/>
      </w:pPr>
    </w:lvl>
    <w:lvl w:ilvl="7" w:tplc="04090019" w:tentative="1">
      <w:start w:val="1"/>
      <w:numFmt w:val="lowerLetter"/>
      <w:lvlText w:val="%8."/>
      <w:lvlJc w:val="left"/>
      <w:pPr>
        <w:ind w:left="6214" w:hanging="360"/>
      </w:pPr>
    </w:lvl>
    <w:lvl w:ilvl="8" w:tplc="0409001B" w:tentative="1">
      <w:start w:val="1"/>
      <w:numFmt w:val="lowerRoman"/>
      <w:lvlText w:val="%9."/>
      <w:lvlJc w:val="right"/>
      <w:pPr>
        <w:ind w:left="6934" w:hanging="180"/>
      </w:pPr>
    </w:lvl>
  </w:abstractNum>
  <w:abstractNum w:abstractNumId="45" w15:restartNumberingAfterBreak="0">
    <w:nsid w:val="251C5C33"/>
    <w:multiLevelType w:val="hybridMultilevel"/>
    <w:tmpl w:val="B9B4AFE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6" w15:restartNumberingAfterBreak="0">
    <w:nsid w:val="25305B7E"/>
    <w:multiLevelType w:val="singleLevel"/>
    <w:tmpl w:val="A6EE71F0"/>
    <w:lvl w:ilvl="0">
      <w:start w:val="1"/>
      <w:numFmt w:val="decimal"/>
      <w:lvlText w:val="%1."/>
      <w:lvlJc w:val="left"/>
      <w:pPr>
        <w:tabs>
          <w:tab w:val="num" w:pos="680"/>
        </w:tabs>
        <w:ind w:left="680" w:firstLine="0"/>
      </w:pPr>
      <w:rPr>
        <w:rFonts w:hint="default"/>
        <w:b w:val="0"/>
        <w:i w:val="0"/>
        <w:color w:val="auto"/>
        <w:sz w:val="22"/>
      </w:rPr>
    </w:lvl>
  </w:abstractNum>
  <w:abstractNum w:abstractNumId="47" w15:restartNumberingAfterBreak="0">
    <w:nsid w:val="25F56578"/>
    <w:multiLevelType w:val="hybridMultilevel"/>
    <w:tmpl w:val="177A0BB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8" w15:restartNumberingAfterBreak="0">
    <w:nsid w:val="25FF7132"/>
    <w:multiLevelType w:val="hybridMultilevel"/>
    <w:tmpl w:val="D6D8AC9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9" w15:restartNumberingAfterBreak="0">
    <w:nsid w:val="26152886"/>
    <w:multiLevelType w:val="hybridMultilevel"/>
    <w:tmpl w:val="FF285BC6"/>
    <w:lvl w:ilvl="0" w:tplc="04D23508">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0" w15:restartNumberingAfterBreak="0">
    <w:nsid w:val="28F32D64"/>
    <w:multiLevelType w:val="hybridMultilevel"/>
    <w:tmpl w:val="246492E6"/>
    <w:lvl w:ilvl="0" w:tplc="32BA5CB8">
      <w:start w:val="3"/>
      <w:numFmt w:val="lowerLetter"/>
      <w:lvlText w:val="%1)"/>
      <w:lvlJc w:val="left"/>
      <w:pPr>
        <w:tabs>
          <w:tab w:val="num" w:pos="679"/>
        </w:tabs>
        <w:ind w:left="170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29AE3974"/>
    <w:multiLevelType w:val="hybridMultilevel"/>
    <w:tmpl w:val="C9403EB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2" w15:restartNumberingAfterBreak="0">
    <w:nsid w:val="2ACF6F84"/>
    <w:multiLevelType w:val="singleLevel"/>
    <w:tmpl w:val="D51E568A"/>
    <w:name w:val="templateBullet2"/>
    <w:lvl w:ilvl="0">
      <w:start w:val="1"/>
      <w:numFmt w:val="bullet"/>
      <w:pStyle w:val="ListBullet2"/>
      <w:lvlText w:val="-"/>
      <w:lvlJc w:val="left"/>
      <w:pPr>
        <w:tabs>
          <w:tab w:val="num" w:pos="1190"/>
        </w:tabs>
        <w:ind w:left="1190" w:hanging="340"/>
      </w:pPr>
      <w:rPr>
        <w:rFonts w:ascii="Symbol" w:hAnsi="Symbol" w:cs="Times New Roman" w:hint="default"/>
        <w:b w:val="0"/>
        <w:i w:val="0"/>
        <w:sz w:val="22"/>
      </w:rPr>
    </w:lvl>
  </w:abstractNum>
  <w:abstractNum w:abstractNumId="53" w15:restartNumberingAfterBreak="0">
    <w:nsid w:val="2B0F1060"/>
    <w:multiLevelType w:val="hybridMultilevel"/>
    <w:tmpl w:val="B5FC052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4" w15:restartNumberingAfterBreak="0">
    <w:nsid w:val="2B4E15DE"/>
    <w:multiLevelType w:val="hybridMultilevel"/>
    <w:tmpl w:val="2018BB0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5" w15:restartNumberingAfterBreak="0">
    <w:nsid w:val="2BD2481C"/>
    <w:multiLevelType w:val="hybridMultilevel"/>
    <w:tmpl w:val="3C18BBB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6" w15:restartNumberingAfterBreak="0">
    <w:nsid w:val="2C1263EC"/>
    <w:multiLevelType w:val="hybridMultilevel"/>
    <w:tmpl w:val="35E28DB8"/>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7" w15:restartNumberingAfterBreak="0">
    <w:nsid w:val="2D443CEF"/>
    <w:multiLevelType w:val="hybridMultilevel"/>
    <w:tmpl w:val="DB0C1AA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8" w15:restartNumberingAfterBreak="0">
    <w:nsid w:val="2D8E5D72"/>
    <w:multiLevelType w:val="hybridMultilevel"/>
    <w:tmpl w:val="70FC160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59" w15:restartNumberingAfterBreak="0">
    <w:nsid w:val="2E2334FD"/>
    <w:multiLevelType w:val="hybridMultilevel"/>
    <w:tmpl w:val="1F70709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0" w15:restartNumberingAfterBreak="0">
    <w:nsid w:val="2FDC5716"/>
    <w:multiLevelType w:val="hybridMultilevel"/>
    <w:tmpl w:val="5A08709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1" w15:restartNumberingAfterBreak="0">
    <w:nsid w:val="30451655"/>
    <w:multiLevelType w:val="hybridMultilevel"/>
    <w:tmpl w:val="CB261C3E"/>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2" w15:restartNumberingAfterBreak="0">
    <w:nsid w:val="30586BD8"/>
    <w:multiLevelType w:val="hybridMultilevel"/>
    <w:tmpl w:val="29448A8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3" w15:restartNumberingAfterBreak="0">
    <w:nsid w:val="305F6DD6"/>
    <w:multiLevelType w:val="hybridMultilevel"/>
    <w:tmpl w:val="18720E6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4" w15:restartNumberingAfterBreak="0">
    <w:nsid w:val="31A55396"/>
    <w:multiLevelType w:val="hybridMultilevel"/>
    <w:tmpl w:val="F54C249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5" w15:restartNumberingAfterBreak="0">
    <w:nsid w:val="32232FC5"/>
    <w:multiLevelType w:val="hybridMultilevel"/>
    <w:tmpl w:val="C21AFD9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6" w15:restartNumberingAfterBreak="0">
    <w:nsid w:val="363E1A8D"/>
    <w:multiLevelType w:val="hybridMultilevel"/>
    <w:tmpl w:val="B37AED3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67" w15:restartNumberingAfterBreak="0">
    <w:nsid w:val="373416BA"/>
    <w:multiLevelType w:val="hybridMultilevel"/>
    <w:tmpl w:val="1BC48570"/>
    <w:lvl w:ilvl="0" w:tplc="90929FC8">
      <w:start w:val="1"/>
      <w:numFmt w:val="lowerLetter"/>
      <w:lvlText w:val="%1)"/>
      <w:lvlJc w:val="left"/>
      <w:pPr>
        <w:ind w:left="1400" w:hanging="360"/>
      </w:pPr>
    </w:lvl>
    <w:lvl w:ilvl="1" w:tplc="5C22FDDE" w:tentative="1">
      <w:start w:val="1"/>
      <w:numFmt w:val="lowerLetter"/>
      <w:lvlText w:val="%2."/>
      <w:lvlJc w:val="left"/>
      <w:pPr>
        <w:ind w:left="2120" w:hanging="360"/>
      </w:pPr>
    </w:lvl>
    <w:lvl w:ilvl="2" w:tplc="BF5A5436" w:tentative="1">
      <w:start w:val="1"/>
      <w:numFmt w:val="lowerRoman"/>
      <w:lvlText w:val="%3."/>
      <w:lvlJc w:val="right"/>
      <w:pPr>
        <w:ind w:left="2840" w:hanging="180"/>
      </w:pPr>
    </w:lvl>
    <w:lvl w:ilvl="3" w:tplc="17D6CDB8" w:tentative="1">
      <w:start w:val="1"/>
      <w:numFmt w:val="decimal"/>
      <w:lvlText w:val="%4."/>
      <w:lvlJc w:val="left"/>
      <w:pPr>
        <w:ind w:left="3560" w:hanging="360"/>
      </w:pPr>
    </w:lvl>
    <w:lvl w:ilvl="4" w:tplc="8C0059CC" w:tentative="1">
      <w:start w:val="1"/>
      <w:numFmt w:val="lowerLetter"/>
      <w:lvlText w:val="%5."/>
      <w:lvlJc w:val="left"/>
      <w:pPr>
        <w:ind w:left="4280" w:hanging="360"/>
      </w:pPr>
    </w:lvl>
    <w:lvl w:ilvl="5" w:tplc="769CCC6E" w:tentative="1">
      <w:start w:val="1"/>
      <w:numFmt w:val="lowerRoman"/>
      <w:lvlText w:val="%6."/>
      <w:lvlJc w:val="right"/>
      <w:pPr>
        <w:ind w:left="5000" w:hanging="180"/>
      </w:pPr>
    </w:lvl>
    <w:lvl w:ilvl="6" w:tplc="5098478C" w:tentative="1">
      <w:start w:val="1"/>
      <w:numFmt w:val="decimal"/>
      <w:lvlText w:val="%7."/>
      <w:lvlJc w:val="left"/>
      <w:pPr>
        <w:ind w:left="5720" w:hanging="360"/>
      </w:pPr>
    </w:lvl>
    <w:lvl w:ilvl="7" w:tplc="355C8B96" w:tentative="1">
      <w:start w:val="1"/>
      <w:numFmt w:val="lowerLetter"/>
      <w:lvlText w:val="%8."/>
      <w:lvlJc w:val="left"/>
      <w:pPr>
        <w:ind w:left="6440" w:hanging="360"/>
      </w:pPr>
    </w:lvl>
    <w:lvl w:ilvl="8" w:tplc="88B40A34" w:tentative="1">
      <w:start w:val="1"/>
      <w:numFmt w:val="lowerRoman"/>
      <w:lvlText w:val="%9."/>
      <w:lvlJc w:val="right"/>
      <w:pPr>
        <w:ind w:left="7160" w:hanging="180"/>
      </w:pPr>
    </w:lvl>
  </w:abstractNum>
  <w:abstractNum w:abstractNumId="68" w15:restartNumberingAfterBreak="0">
    <w:nsid w:val="385D0A84"/>
    <w:multiLevelType w:val="multilevel"/>
    <w:tmpl w:val="7F148E5C"/>
    <w:name w:val="templateNumberBox"/>
    <w:lvl w:ilvl="0">
      <w:start w:val="1"/>
      <w:numFmt w:val="decimal"/>
      <w:lvlText w:val="%1."/>
      <w:lvlJc w:val="left"/>
      <w:pPr>
        <w:tabs>
          <w:tab w:val="num" w:pos="1950"/>
        </w:tabs>
        <w:ind w:left="1950" w:hanging="408"/>
      </w:pPr>
    </w:lvl>
    <w:lvl w:ilvl="1">
      <w:start w:val="1"/>
      <w:numFmt w:val="decimal"/>
      <w:lvlText w:val="%2."/>
      <w:lvlJc w:val="left"/>
      <w:pPr>
        <w:tabs>
          <w:tab w:val="num" w:pos="2291"/>
        </w:tabs>
        <w:ind w:left="2291" w:hanging="341"/>
      </w:pPr>
    </w:lvl>
    <w:lvl w:ilvl="2">
      <w:start w:val="1"/>
      <w:numFmt w:val="decimal"/>
      <w:lvlText w:val="%3."/>
      <w:lvlJc w:val="left"/>
      <w:pPr>
        <w:tabs>
          <w:tab w:val="num" w:pos="2574"/>
        </w:tabs>
        <w:ind w:left="2574" w:hanging="340"/>
      </w:pPr>
    </w:lvl>
    <w:lvl w:ilvl="3">
      <w:start w:val="1"/>
      <w:numFmt w:val="decimal"/>
      <w:lvlText w:val="(%4)"/>
      <w:lvlJc w:val="left"/>
      <w:pPr>
        <w:tabs>
          <w:tab w:val="num" w:pos="8518"/>
        </w:tabs>
        <w:ind w:left="8518" w:hanging="360"/>
      </w:pPr>
    </w:lvl>
    <w:lvl w:ilvl="4">
      <w:start w:val="1"/>
      <w:numFmt w:val="lowerLetter"/>
      <w:lvlText w:val="(%5)"/>
      <w:lvlJc w:val="left"/>
      <w:pPr>
        <w:tabs>
          <w:tab w:val="num" w:pos="8878"/>
        </w:tabs>
        <w:ind w:left="8878" w:hanging="360"/>
      </w:pPr>
    </w:lvl>
    <w:lvl w:ilvl="5">
      <w:start w:val="1"/>
      <w:numFmt w:val="lowerRoman"/>
      <w:lvlText w:val="(%6)"/>
      <w:lvlJc w:val="left"/>
      <w:pPr>
        <w:tabs>
          <w:tab w:val="num" w:pos="9238"/>
        </w:tabs>
        <w:ind w:left="9238" w:hanging="360"/>
      </w:pPr>
    </w:lvl>
    <w:lvl w:ilvl="6">
      <w:start w:val="1"/>
      <w:numFmt w:val="decimal"/>
      <w:lvlText w:val="%7."/>
      <w:lvlJc w:val="left"/>
      <w:pPr>
        <w:tabs>
          <w:tab w:val="num" w:pos="9598"/>
        </w:tabs>
        <w:ind w:left="9598" w:hanging="360"/>
      </w:pPr>
    </w:lvl>
    <w:lvl w:ilvl="7">
      <w:start w:val="1"/>
      <w:numFmt w:val="lowerLetter"/>
      <w:lvlText w:val="%8."/>
      <w:lvlJc w:val="left"/>
      <w:pPr>
        <w:tabs>
          <w:tab w:val="num" w:pos="9958"/>
        </w:tabs>
        <w:ind w:left="9958" w:hanging="360"/>
      </w:pPr>
    </w:lvl>
    <w:lvl w:ilvl="8">
      <w:start w:val="1"/>
      <w:numFmt w:val="lowerRoman"/>
      <w:lvlText w:val="%9."/>
      <w:lvlJc w:val="left"/>
      <w:pPr>
        <w:tabs>
          <w:tab w:val="num" w:pos="10318"/>
        </w:tabs>
        <w:ind w:left="10318" w:hanging="360"/>
      </w:pPr>
    </w:lvl>
  </w:abstractNum>
  <w:abstractNum w:abstractNumId="69" w15:restartNumberingAfterBreak="0">
    <w:nsid w:val="39035C99"/>
    <w:multiLevelType w:val="hybridMultilevel"/>
    <w:tmpl w:val="38A44D1A"/>
    <w:lvl w:ilvl="0" w:tplc="331047E2">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0" w15:restartNumberingAfterBreak="0">
    <w:nsid w:val="39495651"/>
    <w:multiLevelType w:val="hybridMultilevel"/>
    <w:tmpl w:val="A1DCE3B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1" w15:restartNumberingAfterBreak="0">
    <w:nsid w:val="3A5E57B8"/>
    <w:multiLevelType w:val="hybridMultilevel"/>
    <w:tmpl w:val="12BC0DAC"/>
    <w:lvl w:ilvl="0" w:tplc="3FCCEC2E">
      <w:start w:val="1"/>
      <w:numFmt w:val="bullet"/>
      <w:lvlText w:val="‒"/>
      <w:lvlJc w:val="left"/>
      <w:pPr>
        <w:tabs>
          <w:tab w:val="num" w:pos="340"/>
        </w:tabs>
        <w:ind w:left="1361" w:hanging="340"/>
      </w:pPr>
      <w:rPr>
        <w:rFonts w:ascii="Calibri" w:hAnsi="Calibri"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2" w15:restartNumberingAfterBreak="0">
    <w:nsid w:val="3B822A3C"/>
    <w:multiLevelType w:val="multilevel"/>
    <w:tmpl w:val="50D671FA"/>
    <w:name w:val="templateNumber216"/>
    <w:lvl w:ilvl="0">
      <w:start w:val="1"/>
      <w:numFmt w:val="lowerLetter"/>
      <w:lvlText w:val="%1)"/>
      <w:lvlJc w:val="left"/>
      <w:pPr>
        <w:tabs>
          <w:tab w:val="num" w:pos="850"/>
        </w:tabs>
        <w:ind w:left="850" w:hanging="408"/>
      </w:pPr>
    </w:lvl>
    <w:lvl w:ilvl="1">
      <w:start w:val="1"/>
      <w:numFmt w:val="decimal"/>
      <w:lvlText w:val="%2."/>
      <w:lvlJc w:val="left"/>
      <w:pPr>
        <w:tabs>
          <w:tab w:val="num" w:pos="1191"/>
        </w:tabs>
        <w:ind w:left="1191" w:hanging="341"/>
      </w:pPr>
    </w:lvl>
    <w:lvl w:ilvl="2">
      <w:start w:val="1"/>
      <w:numFmt w:val="decimal"/>
      <w:lvlText w:val="%3."/>
      <w:lvlJc w:val="left"/>
      <w:pPr>
        <w:tabs>
          <w:tab w:val="num" w:pos="1474"/>
        </w:tabs>
        <w:ind w:left="1474" w:hanging="340"/>
      </w:pPr>
    </w:lvl>
    <w:lvl w:ilvl="3">
      <w:start w:val="1"/>
      <w:numFmt w:val="decimal"/>
      <w:lvlText w:val="%4."/>
      <w:lvlJc w:val="left"/>
      <w:pPr>
        <w:tabs>
          <w:tab w:val="num" w:pos="1757"/>
        </w:tabs>
        <w:ind w:left="1757" w:hanging="340"/>
      </w:pPr>
    </w:lvl>
    <w:lvl w:ilvl="4">
      <w:start w:val="1"/>
      <w:numFmt w:val="decimal"/>
      <w:lvlText w:val="%5."/>
      <w:lvlJc w:val="left"/>
      <w:pPr>
        <w:tabs>
          <w:tab w:val="num" w:pos="2041"/>
        </w:tabs>
        <w:ind w:left="2041" w:hanging="34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3" w15:restartNumberingAfterBreak="0">
    <w:nsid w:val="3BC230DE"/>
    <w:multiLevelType w:val="multilevel"/>
    <w:tmpl w:val="EABAA40A"/>
    <w:name w:val="templateNumber"/>
    <w:lvl w:ilvl="0">
      <w:start w:val="1"/>
      <w:numFmt w:val="decimal"/>
      <w:pStyle w:val="ListNumber"/>
      <w:lvlText w:val="%1."/>
      <w:lvlJc w:val="left"/>
      <w:pPr>
        <w:tabs>
          <w:tab w:val="num" w:pos="850"/>
        </w:tabs>
        <w:ind w:left="850" w:hanging="408"/>
      </w:pPr>
      <w:rPr>
        <w:rFonts w:hint="default"/>
      </w:rPr>
    </w:lvl>
    <w:lvl w:ilvl="1">
      <w:start w:val="1"/>
      <w:numFmt w:val="decimal"/>
      <w:pStyle w:val="ListNumber2"/>
      <w:lvlText w:val="%2."/>
      <w:lvlJc w:val="left"/>
      <w:pPr>
        <w:tabs>
          <w:tab w:val="num" w:pos="1191"/>
        </w:tabs>
        <w:ind w:left="1191" w:hanging="341"/>
      </w:pPr>
      <w:rPr>
        <w:rFonts w:hint="default"/>
      </w:rPr>
    </w:lvl>
    <w:lvl w:ilvl="2">
      <w:start w:val="1"/>
      <w:numFmt w:val="decimal"/>
      <w:pStyle w:val="ListNumber3"/>
      <w:lvlText w:val="%3."/>
      <w:lvlJc w:val="left"/>
      <w:pPr>
        <w:tabs>
          <w:tab w:val="num" w:pos="1474"/>
        </w:tabs>
        <w:ind w:left="1474" w:hanging="340"/>
      </w:pPr>
      <w:rPr>
        <w:rFonts w:hint="default"/>
      </w:rPr>
    </w:lvl>
    <w:lvl w:ilvl="3">
      <w:start w:val="1"/>
      <w:numFmt w:val="decimal"/>
      <w:lvlText w:val="%4."/>
      <w:lvlJc w:val="left"/>
      <w:pPr>
        <w:tabs>
          <w:tab w:val="num" w:pos="1757"/>
        </w:tabs>
        <w:ind w:left="1757" w:hanging="340"/>
      </w:pPr>
      <w:rPr>
        <w:rFonts w:hint="default"/>
      </w:rPr>
    </w:lvl>
    <w:lvl w:ilvl="4">
      <w:start w:val="1"/>
      <w:numFmt w:val="decimal"/>
      <w:pStyle w:val="ListNumber5"/>
      <w:lvlText w:val="%5."/>
      <w:lvlJc w:val="left"/>
      <w:pPr>
        <w:tabs>
          <w:tab w:val="num" w:pos="2041"/>
        </w:tabs>
        <w:ind w:left="2041" w:hanging="34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4" w15:restartNumberingAfterBreak="0">
    <w:nsid w:val="3E074641"/>
    <w:multiLevelType w:val="hybridMultilevel"/>
    <w:tmpl w:val="BB6A708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5" w15:restartNumberingAfterBreak="0">
    <w:nsid w:val="3E5B69E4"/>
    <w:multiLevelType w:val="hybridMultilevel"/>
    <w:tmpl w:val="4F500242"/>
    <w:name w:val="templateNumber2"/>
    <w:lvl w:ilvl="0" w:tplc="0809001B">
      <w:start w:val="1"/>
      <w:numFmt w:val="lowerRoman"/>
      <w:lvlText w:val="%1."/>
      <w:lvlJc w:val="right"/>
      <w:pPr>
        <w:ind w:left="3285" w:hanging="360"/>
      </w:pPr>
      <w:rPr>
        <w:rFonts w:hint="default"/>
      </w:rPr>
    </w:lvl>
    <w:lvl w:ilvl="1" w:tplc="BFA259F6">
      <w:start w:val="1"/>
      <w:numFmt w:val="lowerLetter"/>
      <w:lvlText w:val="%2)"/>
      <w:lvlJc w:val="left"/>
      <w:pPr>
        <w:ind w:left="4005" w:hanging="360"/>
      </w:pPr>
      <w:rPr>
        <w:rFonts w:hint="default"/>
      </w:rPr>
    </w:lvl>
    <w:lvl w:ilvl="2" w:tplc="0809001B" w:tentative="1">
      <w:start w:val="1"/>
      <w:numFmt w:val="lowerRoman"/>
      <w:lvlText w:val="%3."/>
      <w:lvlJc w:val="right"/>
      <w:pPr>
        <w:ind w:left="4725" w:hanging="180"/>
      </w:pPr>
    </w:lvl>
    <w:lvl w:ilvl="3" w:tplc="0809000F" w:tentative="1">
      <w:start w:val="1"/>
      <w:numFmt w:val="decimal"/>
      <w:lvlText w:val="%4."/>
      <w:lvlJc w:val="left"/>
      <w:pPr>
        <w:ind w:left="5445" w:hanging="360"/>
      </w:pPr>
    </w:lvl>
    <w:lvl w:ilvl="4" w:tplc="08090019" w:tentative="1">
      <w:start w:val="1"/>
      <w:numFmt w:val="lowerLetter"/>
      <w:lvlText w:val="%5."/>
      <w:lvlJc w:val="left"/>
      <w:pPr>
        <w:ind w:left="6165" w:hanging="360"/>
      </w:pPr>
    </w:lvl>
    <w:lvl w:ilvl="5" w:tplc="0809001B" w:tentative="1">
      <w:start w:val="1"/>
      <w:numFmt w:val="lowerRoman"/>
      <w:lvlText w:val="%6."/>
      <w:lvlJc w:val="right"/>
      <w:pPr>
        <w:ind w:left="6885" w:hanging="180"/>
      </w:pPr>
    </w:lvl>
    <w:lvl w:ilvl="6" w:tplc="0809000F" w:tentative="1">
      <w:start w:val="1"/>
      <w:numFmt w:val="decimal"/>
      <w:lvlText w:val="%7."/>
      <w:lvlJc w:val="left"/>
      <w:pPr>
        <w:ind w:left="7605" w:hanging="360"/>
      </w:pPr>
    </w:lvl>
    <w:lvl w:ilvl="7" w:tplc="08090019" w:tentative="1">
      <w:start w:val="1"/>
      <w:numFmt w:val="lowerLetter"/>
      <w:lvlText w:val="%8."/>
      <w:lvlJc w:val="left"/>
      <w:pPr>
        <w:ind w:left="8325" w:hanging="360"/>
      </w:pPr>
    </w:lvl>
    <w:lvl w:ilvl="8" w:tplc="0809001B" w:tentative="1">
      <w:start w:val="1"/>
      <w:numFmt w:val="lowerRoman"/>
      <w:lvlText w:val="%9."/>
      <w:lvlJc w:val="right"/>
      <w:pPr>
        <w:ind w:left="9045" w:hanging="180"/>
      </w:pPr>
    </w:lvl>
  </w:abstractNum>
  <w:abstractNum w:abstractNumId="76" w15:restartNumberingAfterBreak="0">
    <w:nsid w:val="3EBE440E"/>
    <w:multiLevelType w:val="hybridMultilevel"/>
    <w:tmpl w:val="2548C21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7" w15:restartNumberingAfterBreak="0">
    <w:nsid w:val="3F310E80"/>
    <w:multiLevelType w:val="hybridMultilevel"/>
    <w:tmpl w:val="DB200B58"/>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8" w15:restartNumberingAfterBreak="0">
    <w:nsid w:val="3F5845A7"/>
    <w:multiLevelType w:val="hybridMultilevel"/>
    <w:tmpl w:val="C55ABB5A"/>
    <w:lvl w:ilvl="0" w:tplc="4DD6949A">
      <w:start w:val="1"/>
      <w:numFmt w:val="bullet"/>
      <w:lvlText w:val=""/>
      <w:lvlJc w:val="left"/>
      <w:pPr>
        <w:tabs>
          <w:tab w:val="num" w:pos="340"/>
        </w:tabs>
        <w:ind w:left="1361" w:hanging="340"/>
      </w:pPr>
      <w:rPr>
        <w:rFonts w:ascii="Symbol" w:hAnsi="Symbol" w:hint="default"/>
      </w:rPr>
    </w:lvl>
    <w:lvl w:ilvl="1" w:tplc="0809001B">
      <w:start w:val="1"/>
      <w:numFmt w:val="lowerRoman"/>
      <w:lvlText w:val="%2."/>
      <w:lvlJc w:val="right"/>
      <w:pPr>
        <w:tabs>
          <w:tab w:val="num" w:pos="340"/>
        </w:tabs>
        <w:ind w:left="1701" w:hanging="340"/>
      </w:pPr>
      <w:rPr>
        <w:rFonts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9" w15:restartNumberingAfterBreak="0">
    <w:nsid w:val="40BA6676"/>
    <w:multiLevelType w:val="hybridMultilevel"/>
    <w:tmpl w:val="292AA2D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0" w15:restartNumberingAfterBreak="0">
    <w:nsid w:val="4117543C"/>
    <w:multiLevelType w:val="hybridMultilevel"/>
    <w:tmpl w:val="99B8971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1" w15:restartNumberingAfterBreak="0">
    <w:nsid w:val="41244866"/>
    <w:multiLevelType w:val="hybridMultilevel"/>
    <w:tmpl w:val="8B22F7D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2" w15:restartNumberingAfterBreak="0">
    <w:nsid w:val="42491C37"/>
    <w:multiLevelType w:val="hybridMultilevel"/>
    <w:tmpl w:val="6486D70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3" w15:restartNumberingAfterBreak="0">
    <w:nsid w:val="42A0291E"/>
    <w:multiLevelType w:val="hybridMultilevel"/>
    <w:tmpl w:val="85627EB4"/>
    <w:lvl w:ilvl="0" w:tplc="24DECA24">
      <w:start w:val="1"/>
      <w:numFmt w:val="bullet"/>
      <w:pStyle w:val="FAFT-BULLETEDTEXT"/>
      <w:lvlText w:val=""/>
      <w:lvlJc w:val="left"/>
      <w:pPr>
        <w:tabs>
          <w:tab w:val="num" w:pos="2329"/>
        </w:tabs>
        <w:ind w:left="2272" w:hanging="228"/>
      </w:pPr>
      <w:rPr>
        <w:rFonts w:ascii="Wingdings" w:hAnsi="Wingdings" w:hint="default"/>
        <w:color w:val="4F81BD" w:themeColor="accent1"/>
        <w:sz w:val="20"/>
        <w:szCs w:val="20"/>
      </w:rPr>
    </w:lvl>
    <w:lvl w:ilvl="1" w:tplc="040C0003">
      <w:start w:val="1"/>
      <w:numFmt w:val="bullet"/>
      <w:lvlText w:val="o"/>
      <w:lvlJc w:val="left"/>
      <w:pPr>
        <w:ind w:left="3482" w:hanging="360"/>
      </w:pPr>
      <w:rPr>
        <w:rFonts w:ascii="Courier New" w:hAnsi="Courier New" w:hint="default"/>
      </w:rPr>
    </w:lvl>
    <w:lvl w:ilvl="2" w:tplc="040C0005" w:tentative="1">
      <w:start w:val="1"/>
      <w:numFmt w:val="bullet"/>
      <w:lvlText w:val=""/>
      <w:lvlJc w:val="left"/>
      <w:pPr>
        <w:ind w:left="4202" w:hanging="360"/>
      </w:pPr>
      <w:rPr>
        <w:rFonts w:ascii="Wingdings" w:hAnsi="Wingdings" w:hint="default"/>
      </w:rPr>
    </w:lvl>
    <w:lvl w:ilvl="3" w:tplc="040C0001" w:tentative="1">
      <w:start w:val="1"/>
      <w:numFmt w:val="bullet"/>
      <w:lvlText w:val=""/>
      <w:lvlJc w:val="left"/>
      <w:pPr>
        <w:ind w:left="4922" w:hanging="360"/>
      </w:pPr>
      <w:rPr>
        <w:rFonts w:ascii="Symbol" w:hAnsi="Symbol" w:hint="default"/>
      </w:rPr>
    </w:lvl>
    <w:lvl w:ilvl="4" w:tplc="040C0003" w:tentative="1">
      <w:start w:val="1"/>
      <w:numFmt w:val="bullet"/>
      <w:lvlText w:val="o"/>
      <w:lvlJc w:val="left"/>
      <w:pPr>
        <w:ind w:left="5642" w:hanging="360"/>
      </w:pPr>
      <w:rPr>
        <w:rFonts w:ascii="Courier New" w:hAnsi="Courier New" w:hint="default"/>
      </w:rPr>
    </w:lvl>
    <w:lvl w:ilvl="5" w:tplc="040C0005" w:tentative="1">
      <w:start w:val="1"/>
      <w:numFmt w:val="bullet"/>
      <w:lvlText w:val=""/>
      <w:lvlJc w:val="left"/>
      <w:pPr>
        <w:ind w:left="6362" w:hanging="360"/>
      </w:pPr>
      <w:rPr>
        <w:rFonts w:ascii="Wingdings" w:hAnsi="Wingdings" w:hint="default"/>
      </w:rPr>
    </w:lvl>
    <w:lvl w:ilvl="6" w:tplc="040C0001" w:tentative="1">
      <w:start w:val="1"/>
      <w:numFmt w:val="bullet"/>
      <w:lvlText w:val=""/>
      <w:lvlJc w:val="left"/>
      <w:pPr>
        <w:ind w:left="7082" w:hanging="360"/>
      </w:pPr>
      <w:rPr>
        <w:rFonts w:ascii="Symbol" w:hAnsi="Symbol" w:hint="default"/>
      </w:rPr>
    </w:lvl>
    <w:lvl w:ilvl="7" w:tplc="040C0003" w:tentative="1">
      <w:start w:val="1"/>
      <w:numFmt w:val="bullet"/>
      <w:lvlText w:val="o"/>
      <w:lvlJc w:val="left"/>
      <w:pPr>
        <w:ind w:left="7802" w:hanging="360"/>
      </w:pPr>
      <w:rPr>
        <w:rFonts w:ascii="Courier New" w:hAnsi="Courier New" w:hint="default"/>
      </w:rPr>
    </w:lvl>
    <w:lvl w:ilvl="8" w:tplc="040C0005" w:tentative="1">
      <w:start w:val="1"/>
      <w:numFmt w:val="bullet"/>
      <w:lvlText w:val=""/>
      <w:lvlJc w:val="left"/>
      <w:pPr>
        <w:ind w:left="8522" w:hanging="360"/>
      </w:pPr>
      <w:rPr>
        <w:rFonts w:ascii="Wingdings" w:hAnsi="Wingdings" w:hint="default"/>
      </w:rPr>
    </w:lvl>
  </w:abstractNum>
  <w:abstractNum w:abstractNumId="84" w15:restartNumberingAfterBreak="0">
    <w:nsid w:val="42CE1391"/>
    <w:multiLevelType w:val="hybridMultilevel"/>
    <w:tmpl w:val="CB24A34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5" w15:restartNumberingAfterBreak="0">
    <w:nsid w:val="438C274C"/>
    <w:multiLevelType w:val="hybridMultilevel"/>
    <w:tmpl w:val="73A29EC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6" w15:restartNumberingAfterBreak="0">
    <w:nsid w:val="447A31BB"/>
    <w:multiLevelType w:val="hybridMultilevel"/>
    <w:tmpl w:val="2B6E725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7" w15:restartNumberingAfterBreak="0">
    <w:nsid w:val="4743246B"/>
    <w:multiLevelType w:val="hybridMultilevel"/>
    <w:tmpl w:val="8B688B0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8" w15:restartNumberingAfterBreak="0">
    <w:nsid w:val="479436E4"/>
    <w:multiLevelType w:val="hybridMultilevel"/>
    <w:tmpl w:val="FDA65A96"/>
    <w:lvl w:ilvl="0" w:tplc="F19A3028">
      <w:start w:val="1"/>
      <w:numFmt w:val="lowerRoman"/>
      <w:lvlText w:val="%1."/>
      <w:lvlJc w:val="left"/>
      <w:pPr>
        <w:tabs>
          <w:tab w:val="num" w:pos="340"/>
        </w:tabs>
        <w:ind w:left="1361" w:hanging="340"/>
      </w:pPr>
      <w:rPr>
        <w:rFonts w:hint="default"/>
        <w:b w:val="0"/>
        <w:i w:val="0"/>
        <w:color w:val="auto"/>
        <w:sz w:val="22"/>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89" w15:restartNumberingAfterBreak="0">
    <w:nsid w:val="47AF5AAA"/>
    <w:multiLevelType w:val="hybridMultilevel"/>
    <w:tmpl w:val="1EECBA76"/>
    <w:lvl w:ilvl="0" w:tplc="3BBC2972">
      <w:start w:val="1"/>
      <w:numFmt w:val="bullet"/>
      <w:pStyle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8090003">
      <w:start w:val="1"/>
      <w:numFmt w:val="bullet"/>
      <w:lvlText w:val="o"/>
      <w:lvlJc w:val="left"/>
      <w:pPr>
        <w:ind w:left="288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47D039CF"/>
    <w:multiLevelType w:val="hybridMultilevel"/>
    <w:tmpl w:val="00D8C8A2"/>
    <w:lvl w:ilvl="0" w:tplc="0809001B">
      <w:start w:val="1"/>
      <w:numFmt w:val="lowerRoman"/>
      <w:lvlText w:val="%1."/>
      <w:lvlJc w:val="righ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1" w15:restartNumberingAfterBreak="0">
    <w:nsid w:val="48081AE1"/>
    <w:multiLevelType w:val="hybridMultilevel"/>
    <w:tmpl w:val="C760398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2" w15:restartNumberingAfterBreak="0">
    <w:nsid w:val="48BB7503"/>
    <w:multiLevelType w:val="singleLevel"/>
    <w:tmpl w:val="60A0508A"/>
    <w:styleLink w:val="AlphaNote"/>
    <w:lvl w:ilvl="0">
      <w:start w:val="1"/>
      <w:numFmt w:val="lowerLetter"/>
      <w:lvlText w:val="%1."/>
      <w:lvlJc w:val="left"/>
      <w:pPr>
        <w:tabs>
          <w:tab w:val="num" w:pos="408"/>
        </w:tabs>
        <w:ind w:left="408" w:hanging="408"/>
      </w:pPr>
    </w:lvl>
  </w:abstractNum>
  <w:abstractNum w:abstractNumId="93" w15:restartNumberingAfterBreak="0">
    <w:nsid w:val="48EC55A8"/>
    <w:multiLevelType w:val="singleLevel"/>
    <w:tmpl w:val="EBBACA14"/>
    <w:name w:val="templateBullet3"/>
    <w:lvl w:ilvl="0">
      <w:start w:val="1"/>
      <w:numFmt w:val="bullet"/>
      <w:pStyle w:val="ListBullet3"/>
      <w:lvlText w:val="-"/>
      <w:lvlJc w:val="left"/>
      <w:pPr>
        <w:tabs>
          <w:tab w:val="num" w:pos="1474"/>
        </w:tabs>
        <w:ind w:left="1474" w:hanging="340"/>
      </w:pPr>
      <w:rPr>
        <w:rFonts w:ascii="Symbol" w:hAnsi="Symbol" w:cs="Times New Roman" w:hint="default"/>
        <w:b w:val="0"/>
        <w:i w:val="0"/>
        <w:sz w:val="22"/>
      </w:rPr>
    </w:lvl>
  </w:abstractNum>
  <w:abstractNum w:abstractNumId="94" w15:restartNumberingAfterBreak="0">
    <w:nsid w:val="492968B0"/>
    <w:multiLevelType w:val="hybridMultilevel"/>
    <w:tmpl w:val="094ABC4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5" w15:restartNumberingAfterBreak="0">
    <w:nsid w:val="49E33BE3"/>
    <w:multiLevelType w:val="hybridMultilevel"/>
    <w:tmpl w:val="6338E06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6" w15:restartNumberingAfterBreak="0">
    <w:nsid w:val="4AA02F9F"/>
    <w:multiLevelType w:val="hybridMultilevel"/>
    <w:tmpl w:val="4C3C2410"/>
    <w:lvl w:ilvl="0" w:tplc="BCD4C816">
      <w:start w:val="4"/>
      <w:numFmt w:val="lowerLetter"/>
      <w:lvlText w:val="%1)"/>
      <w:lvlJc w:val="left"/>
      <w:pPr>
        <w:tabs>
          <w:tab w:val="num" w:pos="340"/>
        </w:tabs>
        <w:ind w:left="1361"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4AAE47B4"/>
    <w:multiLevelType w:val="singleLevel"/>
    <w:tmpl w:val="AB6CFFBC"/>
    <w:name w:val="templateBulletBox2"/>
    <w:lvl w:ilvl="0">
      <w:start w:val="1"/>
      <w:numFmt w:val="bullet"/>
      <w:lvlText w:val="-"/>
      <w:lvlJc w:val="left"/>
      <w:pPr>
        <w:tabs>
          <w:tab w:val="num" w:pos="1191"/>
        </w:tabs>
        <w:ind w:left="1191" w:hanging="340"/>
      </w:pPr>
      <w:rPr>
        <w:rFonts w:ascii="Symbol" w:hAnsi="Symbol" w:cs="Times New Roman" w:hint="default"/>
        <w:b w:val="0"/>
        <w:i w:val="0"/>
        <w:sz w:val="22"/>
      </w:rPr>
    </w:lvl>
  </w:abstractNum>
  <w:abstractNum w:abstractNumId="98" w15:restartNumberingAfterBreak="0">
    <w:nsid w:val="4ACB02D1"/>
    <w:multiLevelType w:val="hybridMultilevel"/>
    <w:tmpl w:val="884EA08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9" w15:restartNumberingAfterBreak="0">
    <w:nsid w:val="4ACF2226"/>
    <w:multiLevelType w:val="hybridMultilevel"/>
    <w:tmpl w:val="9084AE8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0" w15:restartNumberingAfterBreak="0">
    <w:nsid w:val="4C220B75"/>
    <w:multiLevelType w:val="multilevel"/>
    <w:tmpl w:val="E466D48E"/>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680" w:firstLine="0"/>
      </w:pPr>
      <w:rPr>
        <w:rFonts w:hint="default"/>
      </w:rPr>
    </w:lvl>
    <w:lvl w:ilvl="3">
      <w:start w:val="1"/>
      <w:numFmt w:val="none"/>
      <w:pStyle w:val="Heading4"/>
      <w:suff w:val="nothing"/>
      <w:lvlText w:val=""/>
      <w:lvlJc w:val="left"/>
      <w:pPr>
        <w:ind w:left="680" w:firstLine="0"/>
      </w:pPr>
      <w:rPr>
        <w:rFonts w:hint="default"/>
      </w:rPr>
    </w:lvl>
    <w:lvl w:ilvl="4">
      <w:start w:val="1"/>
      <w:numFmt w:val="none"/>
      <w:pStyle w:val="Heading5"/>
      <w:suff w:val="nothing"/>
      <w:lvlText w:val=""/>
      <w:lvlJc w:val="left"/>
      <w:pPr>
        <w:ind w:left="680" w:firstLine="0"/>
      </w:pPr>
      <w:rPr>
        <w:rFonts w:hint="default"/>
      </w:rPr>
    </w:lvl>
    <w:lvl w:ilvl="5">
      <w:start w:val="1"/>
      <w:numFmt w:val="none"/>
      <w:pStyle w:val="Heading6"/>
      <w:suff w:val="nothing"/>
      <w:lvlText w:val=""/>
      <w:lvlJc w:val="left"/>
      <w:pPr>
        <w:ind w:left="680" w:firstLine="0"/>
      </w:pPr>
      <w:rPr>
        <w:rFonts w:hint="default"/>
      </w:rPr>
    </w:lvl>
    <w:lvl w:ilvl="6">
      <w:start w:val="1"/>
      <w:numFmt w:val="upperLetter"/>
      <w:lvlRestart w:val="0"/>
      <w:pStyle w:val="Heading7"/>
      <w:suff w:val="space"/>
      <w:lvlText w:val="Annex %7."/>
      <w:lvlJc w:val="center"/>
      <w:pPr>
        <w:ind w:left="0" w:firstLine="288"/>
      </w:pPr>
      <w:rPr>
        <w:rFonts w:hint="default"/>
      </w:rPr>
    </w:lvl>
    <w:lvl w:ilvl="7">
      <w:start w:val="1"/>
      <w:numFmt w:val="none"/>
      <w:pStyle w:val="Heading8"/>
      <w:suff w:val="nothing"/>
      <w:lvlText w:val=""/>
      <w:lvlJc w:val="left"/>
      <w:pPr>
        <w:ind w:left="680" w:firstLine="0"/>
      </w:pPr>
      <w:rPr>
        <w:rFonts w:hint="default"/>
      </w:rPr>
    </w:lvl>
    <w:lvl w:ilvl="8">
      <w:start w:val="1"/>
      <w:numFmt w:val="none"/>
      <w:pStyle w:val="Heading9"/>
      <w:suff w:val="nothing"/>
      <w:lvlText w:val=""/>
      <w:lvlJc w:val="left"/>
      <w:pPr>
        <w:ind w:left="680" w:firstLine="0"/>
      </w:pPr>
      <w:rPr>
        <w:rFonts w:hint="default"/>
      </w:rPr>
    </w:lvl>
  </w:abstractNum>
  <w:abstractNum w:abstractNumId="101" w15:restartNumberingAfterBreak="0">
    <w:nsid w:val="4C3E338B"/>
    <w:multiLevelType w:val="hybridMultilevel"/>
    <w:tmpl w:val="39387CF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2" w15:restartNumberingAfterBreak="0">
    <w:nsid w:val="4D476348"/>
    <w:multiLevelType w:val="hybridMultilevel"/>
    <w:tmpl w:val="1316997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3" w15:restartNumberingAfterBreak="0">
    <w:nsid w:val="4D7C57C2"/>
    <w:multiLevelType w:val="hybridMultilevel"/>
    <w:tmpl w:val="D64E0AA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4" w15:restartNumberingAfterBreak="0">
    <w:nsid w:val="4E3475FA"/>
    <w:multiLevelType w:val="hybridMultilevel"/>
    <w:tmpl w:val="B4AEFCB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5" w15:restartNumberingAfterBreak="0">
    <w:nsid w:val="4E4F7E43"/>
    <w:multiLevelType w:val="hybridMultilevel"/>
    <w:tmpl w:val="418E56F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6" w15:restartNumberingAfterBreak="0">
    <w:nsid w:val="4E9F7B31"/>
    <w:multiLevelType w:val="hybridMultilevel"/>
    <w:tmpl w:val="D2FE1B2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7" w15:restartNumberingAfterBreak="0">
    <w:nsid w:val="4FA35E17"/>
    <w:multiLevelType w:val="hybridMultilevel"/>
    <w:tmpl w:val="B7EEBE82"/>
    <w:lvl w:ilvl="0" w:tplc="0809000D">
      <w:start w:val="1"/>
      <w:numFmt w:val="bullet"/>
      <w:lvlText w:val=""/>
      <w:lvlJc w:val="left"/>
      <w:pPr>
        <w:tabs>
          <w:tab w:val="num" w:pos="340"/>
        </w:tabs>
        <w:ind w:left="1361" w:hanging="340"/>
      </w:pPr>
      <w:rPr>
        <w:rFonts w:ascii="Wingdings" w:hAnsi="Wingding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8" w15:restartNumberingAfterBreak="0">
    <w:nsid w:val="50EF3A38"/>
    <w:multiLevelType w:val="hybridMultilevel"/>
    <w:tmpl w:val="831A03F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9" w15:restartNumberingAfterBreak="0">
    <w:nsid w:val="5176726A"/>
    <w:multiLevelType w:val="hybridMultilevel"/>
    <w:tmpl w:val="80140844"/>
    <w:lvl w:ilvl="0" w:tplc="4DD6949A">
      <w:start w:val="1"/>
      <w:numFmt w:val="bullet"/>
      <w:pStyle w:val="BulletedLis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0" w15:restartNumberingAfterBreak="0">
    <w:nsid w:val="52362E18"/>
    <w:multiLevelType w:val="hybridMultilevel"/>
    <w:tmpl w:val="FAEE0F3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1" w15:restartNumberingAfterBreak="0">
    <w:nsid w:val="531A4C44"/>
    <w:multiLevelType w:val="hybridMultilevel"/>
    <w:tmpl w:val="C3E0203C"/>
    <w:lvl w:ilvl="0" w:tplc="172A060C">
      <w:start w:val="1"/>
      <w:numFmt w:val="lowerLetter"/>
      <w:lvlText w:val="%1)"/>
      <w:lvlJc w:val="left"/>
      <w:pPr>
        <w:tabs>
          <w:tab w:val="num" w:pos="340"/>
        </w:tabs>
        <w:ind w:left="1361" w:hanging="340"/>
      </w:pPr>
      <w:rPr>
        <w:rFonts w:hint="default"/>
        <w:b w:val="0"/>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2" w15:restartNumberingAfterBreak="0">
    <w:nsid w:val="53B932F6"/>
    <w:multiLevelType w:val="hybridMultilevel"/>
    <w:tmpl w:val="7116CC6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3" w15:restartNumberingAfterBreak="0">
    <w:nsid w:val="546B6392"/>
    <w:multiLevelType w:val="hybridMultilevel"/>
    <w:tmpl w:val="28CA4028"/>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4" w15:restartNumberingAfterBreak="0">
    <w:nsid w:val="547E3B5E"/>
    <w:multiLevelType w:val="hybridMultilevel"/>
    <w:tmpl w:val="9DA4046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5" w15:restartNumberingAfterBreak="0">
    <w:nsid w:val="54F80160"/>
    <w:multiLevelType w:val="hybridMultilevel"/>
    <w:tmpl w:val="FA08CAF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6" w15:restartNumberingAfterBreak="0">
    <w:nsid w:val="55335DBB"/>
    <w:multiLevelType w:val="hybridMultilevel"/>
    <w:tmpl w:val="1EB46048"/>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7" w15:restartNumberingAfterBreak="0">
    <w:nsid w:val="56BE6F79"/>
    <w:multiLevelType w:val="singleLevel"/>
    <w:tmpl w:val="F258D16A"/>
    <w:name w:val="templateBullet4"/>
    <w:lvl w:ilvl="0">
      <w:start w:val="1"/>
      <w:numFmt w:val="bullet"/>
      <w:pStyle w:val="ListBullet4"/>
      <w:lvlText w:val="-"/>
      <w:lvlJc w:val="left"/>
      <w:pPr>
        <w:tabs>
          <w:tab w:val="num" w:pos="1757"/>
        </w:tabs>
        <w:ind w:left="1757" w:hanging="340"/>
      </w:pPr>
      <w:rPr>
        <w:rFonts w:ascii="Symbol" w:hAnsi="Symbol" w:cs="Times New Roman" w:hint="default"/>
        <w:b w:val="0"/>
        <w:i w:val="0"/>
        <w:sz w:val="22"/>
      </w:rPr>
    </w:lvl>
  </w:abstractNum>
  <w:abstractNum w:abstractNumId="118" w15:restartNumberingAfterBreak="0">
    <w:nsid w:val="56D20E5D"/>
    <w:multiLevelType w:val="hybridMultilevel"/>
    <w:tmpl w:val="5498E61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19" w15:restartNumberingAfterBreak="0">
    <w:nsid w:val="574719DD"/>
    <w:multiLevelType w:val="hybridMultilevel"/>
    <w:tmpl w:val="D504B76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0" w15:restartNumberingAfterBreak="0">
    <w:nsid w:val="57644DE8"/>
    <w:multiLevelType w:val="hybridMultilevel"/>
    <w:tmpl w:val="270E95D8"/>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1" w15:restartNumberingAfterBreak="0">
    <w:nsid w:val="58573AA6"/>
    <w:multiLevelType w:val="hybridMultilevel"/>
    <w:tmpl w:val="63A07648"/>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2" w15:restartNumberingAfterBreak="0">
    <w:nsid w:val="58D05FCB"/>
    <w:multiLevelType w:val="hybridMultilevel"/>
    <w:tmpl w:val="047ECD48"/>
    <w:lvl w:ilvl="0" w:tplc="EBEC7922">
      <w:start w:val="1"/>
      <w:numFmt w:val="bullet"/>
      <w:pStyle w:val="BL3"/>
      <w:lvlText w:val="-"/>
      <w:lvlJc w:val="left"/>
      <w:pPr>
        <w:ind w:left="2421" w:hanging="360"/>
      </w:pPr>
      <w:rPr>
        <w:rFonts w:ascii="Courier New" w:hAnsi="Courier New"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23" w15:restartNumberingAfterBreak="0">
    <w:nsid w:val="5A3C7ADC"/>
    <w:multiLevelType w:val="hybridMultilevel"/>
    <w:tmpl w:val="4C4C76B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4" w15:restartNumberingAfterBreak="0">
    <w:nsid w:val="5B342638"/>
    <w:multiLevelType w:val="hybridMultilevel"/>
    <w:tmpl w:val="CA269F8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5" w15:restartNumberingAfterBreak="0">
    <w:nsid w:val="5C8E0CA3"/>
    <w:multiLevelType w:val="singleLevel"/>
    <w:tmpl w:val="BCFCA2DE"/>
    <w:name w:val="templateBullet5"/>
    <w:lvl w:ilvl="0">
      <w:start w:val="1"/>
      <w:numFmt w:val="bullet"/>
      <w:pStyle w:val="ListBullet5"/>
      <w:lvlText w:val="-"/>
      <w:lvlJc w:val="left"/>
      <w:pPr>
        <w:tabs>
          <w:tab w:val="num" w:pos="2041"/>
        </w:tabs>
        <w:ind w:left="2041" w:hanging="340"/>
      </w:pPr>
      <w:rPr>
        <w:rFonts w:ascii="Symbol" w:hAnsi="Symbol" w:cs="Times New Roman" w:hint="default"/>
        <w:b w:val="0"/>
        <w:i w:val="0"/>
        <w:sz w:val="22"/>
      </w:rPr>
    </w:lvl>
  </w:abstractNum>
  <w:abstractNum w:abstractNumId="126" w15:restartNumberingAfterBreak="0">
    <w:nsid w:val="5C991558"/>
    <w:multiLevelType w:val="hybridMultilevel"/>
    <w:tmpl w:val="05DAFCE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7" w15:restartNumberingAfterBreak="0">
    <w:nsid w:val="5CB0032B"/>
    <w:multiLevelType w:val="hybridMultilevel"/>
    <w:tmpl w:val="7CD8FCF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8" w15:restartNumberingAfterBreak="0">
    <w:nsid w:val="5CE056F3"/>
    <w:multiLevelType w:val="hybridMultilevel"/>
    <w:tmpl w:val="F1D2B1F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29" w15:restartNumberingAfterBreak="0">
    <w:nsid w:val="5DB069E3"/>
    <w:multiLevelType w:val="hybridMultilevel"/>
    <w:tmpl w:val="0F5EE46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0" w15:restartNumberingAfterBreak="0">
    <w:nsid w:val="5DBD5F02"/>
    <w:multiLevelType w:val="hybridMultilevel"/>
    <w:tmpl w:val="47FABE96"/>
    <w:lvl w:ilvl="0" w:tplc="D10EB844">
      <w:start w:val="3"/>
      <w:numFmt w:val="lowerLetter"/>
      <w:lvlText w:val="%1)"/>
      <w:lvlJc w:val="left"/>
      <w:pPr>
        <w:tabs>
          <w:tab w:val="num" w:pos="340"/>
        </w:tabs>
        <w:ind w:left="1361"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6009108D"/>
    <w:multiLevelType w:val="hybridMultilevel"/>
    <w:tmpl w:val="44B0969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2" w15:restartNumberingAfterBreak="0">
    <w:nsid w:val="60421AAD"/>
    <w:multiLevelType w:val="hybridMultilevel"/>
    <w:tmpl w:val="29FE3A5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3" w15:restartNumberingAfterBreak="0">
    <w:nsid w:val="61222307"/>
    <w:multiLevelType w:val="hybridMultilevel"/>
    <w:tmpl w:val="3856B932"/>
    <w:name w:val="templateNumber22"/>
    <w:lvl w:ilvl="0" w:tplc="90929FC8">
      <w:start w:val="1"/>
      <w:numFmt w:val="lowerLetter"/>
      <w:lvlText w:val="%1)"/>
      <w:lvlJc w:val="left"/>
      <w:pPr>
        <w:ind w:left="2761" w:hanging="360"/>
      </w:pPr>
    </w:lvl>
    <w:lvl w:ilvl="1" w:tplc="08090019" w:tentative="1">
      <w:start w:val="1"/>
      <w:numFmt w:val="lowerLetter"/>
      <w:lvlText w:val="%2."/>
      <w:lvlJc w:val="left"/>
      <w:pPr>
        <w:ind w:left="2801" w:hanging="360"/>
      </w:pPr>
    </w:lvl>
    <w:lvl w:ilvl="2" w:tplc="0809001B">
      <w:start w:val="1"/>
      <w:numFmt w:val="lowerRoman"/>
      <w:lvlText w:val="%3."/>
      <w:lvlJc w:val="right"/>
      <w:pPr>
        <w:ind w:left="3521" w:hanging="180"/>
      </w:pPr>
    </w:lvl>
    <w:lvl w:ilvl="3" w:tplc="0809000F" w:tentative="1">
      <w:start w:val="1"/>
      <w:numFmt w:val="decimal"/>
      <w:lvlText w:val="%4."/>
      <w:lvlJc w:val="left"/>
      <w:pPr>
        <w:ind w:left="4241" w:hanging="360"/>
      </w:pPr>
    </w:lvl>
    <w:lvl w:ilvl="4" w:tplc="08090019" w:tentative="1">
      <w:start w:val="1"/>
      <w:numFmt w:val="lowerLetter"/>
      <w:lvlText w:val="%5."/>
      <w:lvlJc w:val="left"/>
      <w:pPr>
        <w:ind w:left="4961" w:hanging="360"/>
      </w:pPr>
    </w:lvl>
    <w:lvl w:ilvl="5" w:tplc="0809001B" w:tentative="1">
      <w:start w:val="1"/>
      <w:numFmt w:val="lowerRoman"/>
      <w:lvlText w:val="%6."/>
      <w:lvlJc w:val="right"/>
      <w:pPr>
        <w:ind w:left="5681" w:hanging="180"/>
      </w:pPr>
    </w:lvl>
    <w:lvl w:ilvl="6" w:tplc="0809000F" w:tentative="1">
      <w:start w:val="1"/>
      <w:numFmt w:val="decimal"/>
      <w:lvlText w:val="%7."/>
      <w:lvlJc w:val="left"/>
      <w:pPr>
        <w:ind w:left="6401" w:hanging="360"/>
      </w:pPr>
    </w:lvl>
    <w:lvl w:ilvl="7" w:tplc="08090019" w:tentative="1">
      <w:start w:val="1"/>
      <w:numFmt w:val="lowerLetter"/>
      <w:lvlText w:val="%8."/>
      <w:lvlJc w:val="left"/>
      <w:pPr>
        <w:ind w:left="7121" w:hanging="360"/>
      </w:pPr>
    </w:lvl>
    <w:lvl w:ilvl="8" w:tplc="0809001B" w:tentative="1">
      <w:start w:val="1"/>
      <w:numFmt w:val="lowerRoman"/>
      <w:lvlText w:val="%9."/>
      <w:lvlJc w:val="right"/>
      <w:pPr>
        <w:ind w:left="7841" w:hanging="180"/>
      </w:pPr>
    </w:lvl>
  </w:abstractNum>
  <w:abstractNum w:abstractNumId="134" w15:restartNumberingAfterBreak="0">
    <w:nsid w:val="61A54774"/>
    <w:multiLevelType w:val="hybridMultilevel"/>
    <w:tmpl w:val="DB00309E"/>
    <w:lvl w:ilvl="0" w:tplc="04BAB2B2">
      <w:start w:val="1"/>
      <w:numFmt w:val="lowerLetter"/>
      <w:pStyle w:val="ProposedAction"/>
      <w:lvlText w:val="%1)"/>
      <w:lvlJc w:val="left"/>
      <w:pPr>
        <w:tabs>
          <w:tab w:val="num" w:pos="425"/>
        </w:tabs>
        <w:ind w:left="2268" w:hanging="425"/>
      </w:pPr>
      <w:rPr>
        <w:rFonts w:hint="default"/>
      </w:rPr>
    </w:lvl>
    <w:lvl w:ilvl="1" w:tplc="A8CE7C10">
      <w:start w:val="1"/>
      <w:numFmt w:val="lowerRoman"/>
      <w:lvlText w:val="%2)"/>
      <w:lvlJc w:val="left"/>
      <w:pPr>
        <w:tabs>
          <w:tab w:val="num" w:pos="567"/>
        </w:tabs>
        <w:ind w:left="2835" w:hanging="567"/>
      </w:pPr>
      <w:rPr>
        <w:rFonts w:hint="default"/>
      </w:rPr>
    </w:lvl>
    <w:lvl w:ilvl="2" w:tplc="0809001B" w:tentative="1">
      <w:start w:val="1"/>
      <w:numFmt w:val="lowerRoman"/>
      <w:lvlText w:val="%3."/>
      <w:lvlJc w:val="right"/>
      <w:pPr>
        <w:ind w:left="4003" w:hanging="180"/>
      </w:pPr>
    </w:lvl>
    <w:lvl w:ilvl="3" w:tplc="0809000F" w:tentative="1">
      <w:start w:val="1"/>
      <w:numFmt w:val="decimal"/>
      <w:lvlText w:val="%4."/>
      <w:lvlJc w:val="left"/>
      <w:pPr>
        <w:ind w:left="4723" w:hanging="360"/>
      </w:pPr>
    </w:lvl>
    <w:lvl w:ilvl="4" w:tplc="08090019" w:tentative="1">
      <w:start w:val="1"/>
      <w:numFmt w:val="lowerLetter"/>
      <w:lvlText w:val="%5."/>
      <w:lvlJc w:val="left"/>
      <w:pPr>
        <w:ind w:left="5443" w:hanging="360"/>
      </w:pPr>
    </w:lvl>
    <w:lvl w:ilvl="5" w:tplc="0809001B" w:tentative="1">
      <w:start w:val="1"/>
      <w:numFmt w:val="lowerRoman"/>
      <w:lvlText w:val="%6."/>
      <w:lvlJc w:val="right"/>
      <w:pPr>
        <w:ind w:left="6163" w:hanging="180"/>
      </w:pPr>
    </w:lvl>
    <w:lvl w:ilvl="6" w:tplc="0809000F" w:tentative="1">
      <w:start w:val="1"/>
      <w:numFmt w:val="decimal"/>
      <w:lvlText w:val="%7."/>
      <w:lvlJc w:val="left"/>
      <w:pPr>
        <w:ind w:left="6883" w:hanging="360"/>
      </w:pPr>
    </w:lvl>
    <w:lvl w:ilvl="7" w:tplc="08090019" w:tentative="1">
      <w:start w:val="1"/>
      <w:numFmt w:val="lowerLetter"/>
      <w:lvlText w:val="%8."/>
      <w:lvlJc w:val="left"/>
      <w:pPr>
        <w:ind w:left="7603" w:hanging="360"/>
      </w:pPr>
    </w:lvl>
    <w:lvl w:ilvl="8" w:tplc="0809001B" w:tentative="1">
      <w:start w:val="1"/>
      <w:numFmt w:val="lowerRoman"/>
      <w:lvlText w:val="%9."/>
      <w:lvlJc w:val="right"/>
      <w:pPr>
        <w:ind w:left="8323" w:hanging="180"/>
      </w:pPr>
    </w:lvl>
  </w:abstractNum>
  <w:abstractNum w:abstractNumId="135" w15:restartNumberingAfterBreak="0">
    <w:nsid w:val="63E515CF"/>
    <w:multiLevelType w:val="singleLevel"/>
    <w:tmpl w:val="7A00B8A4"/>
    <w:name w:val="templateBulletBox1"/>
    <w:lvl w:ilvl="0">
      <w:start w:val="1"/>
      <w:numFmt w:val="bullet"/>
      <w:lvlText w:val="·"/>
      <w:lvlJc w:val="left"/>
      <w:pPr>
        <w:tabs>
          <w:tab w:val="num" w:pos="850"/>
        </w:tabs>
        <w:ind w:left="850" w:hanging="408"/>
      </w:pPr>
      <w:rPr>
        <w:rFonts w:ascii="Symbol" w:hAnsi="Symbol" w:cs="Times New Roman" w:hint="default"/>
        <w:b w:val="0"/>
        <w:i w:val="0"/>
        <w:sz w:val="22"/>
      </w:rPr>
    </w:lvl>
  </w:abstractNum>
  <w:abstractNum w:abstractNumId="136" w15:restartNumberingAfterBreak="0">
    <w:nsid w:val="64AD11D9"/>
    <w:multiLevelType w:val="hybridMultilevel"/>
    <w:tmpl w:val="DF56655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7" w15:restartNumberingAfterBreak="0">
    <w:nsid w:val="679461B6"/>
    <w:multiLevelType w:val="hybridMultilevel"/>
    <w:tmpl w:val="99D86FCA"/>
    <w:lvl w:ilvl="0" w:tplc="67464DAA">
      <w:start w:val="16"/>
      <w:numFmt w:val="lowerLetter"/>
      <w:lvlText w:val="%1)"/>
      <w:lvlJc w:val="left"/>
      <w:pPr>
        <w:tabs>
          <w:tab w:val="num" w:pos="340"/>
        </w:tabs>
        <w:ind w:left="1361"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8" w15:restartNumberingAfterBreak="0">
    <w:nsid w:val="681E2508"/>
    <w:multiLevelType w:val="hybridMultilevel"/>
    <w:tmpl w:val="E1A41268"/>
    <w:lvl w:ilvl="0" w:tplc="675A421E">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39" w15:restartNumberingAfterBreak="0">
    <w:nsid w:val="68247DDB"/>
    <w:multiLevelType w:val="hybridMultilevel"/>
    <w:tmpl w:val="3D262AEC"/>
    <w:lvl w:ilvl="0" w:tplc="04F0B39C">
      <w:start w:val="1"/>
      <w:numFmt w:val="lowerRoman"/>
      <w:pStyle w:val="NL3"/>
      <w:lvlText w:val="%1."/>
      <w:lvlJc w:val="left"/>
      <w:pPr>
        <w:ind w:left="1400" w:hanging="360"/>
      </w:pPr>
      <w:rPr>
        <w:rFonts w:hint="default"/>
        <w:b w:val="0"/>
        <w:i w:val="0"/>
        <w:color w:val="auto"/>
        <w:sz w:val="22"/>
      </w:rPr>
    </w:lvl>
    <w:lvl w:ilvl="1" w:tplc="08090019" w:tentative="1">
      <w:start w:val="1"/>
      <w:numFmt w:val="lowerLetter"/>
      <w:lvlText w:val="%2."/>
      <w:lvlJc w:val="left"/>
      <w:pPr>
        <w:ind w:left="2120" w:hanging="360"/>
      </w:pPr>
    </w:lvl>
    <w:lvl w:ilvl="2" w:tplc="0809001B" w:tentative="1">
      <w:start w:val="1"/>
      <w:numFmt w:val="lowerRoman"/>
      <w:lvlText w:val="%3."/>
      <w:lvlJc w:val="right"/>
      <w:pPr>
        <w:ind w:left="2840" w:hanging="180"/>
      </w:pPr>
    </w:lvl>
    <w:lvl w:ilvl="3" w:tplc="0809000F" w:tentative="1">
      <w:start w:val="1"/>
      <w:numFmt w:val="decimal"/>
      <w:lvlText w:val="%4."/>
      <w:lvlJc w:val="left"/>
      <w:pPr>
        <w:ind w:left="3560" w:hanging="360"/>
      </w:pPr>
    </w:lvl>
    <w:lvl w:ilvl="4" w:tplc="08090019" w:tentative="1">
      <w:start w:val="1"/>
      <w:numFmt w:val="lowerLetter"/>
      <w:lvlText w:val="%5."/>
      <w:lvlJc w:val="left"/>
      <w:pPr>
        <w:ind w:left="4280" w:hanging="360"/>
      </w:pPr>
    </w:lvl>
    <w:lvl w:ilvl="5" w:tplc="0809001B" w:tentative="1">
      <w:start w:val="1"/>
      <w:numFmt w:val="lowerRoman"/>
      <w:lvlText w:val="%6."/>
      <w:lvlJc w:val="right"/>
      <w:pPr>
        <w:ind w:left="5000" w:hanging="180"/>
      </w:pPr>
    </w:lvl>
    <w:lvl w:ilvl="6" w:tplc="0809000F" w:tentative="1">
      <w:start w:val="1"/>
      <w:numFmt w:val="decimal"/>
      <w:lvlText w:val="%7."/>
      <w:lvlJc w:val="left"/>
      <w:pPr>
        <w:ind w:left="5720" w:hanging="360"/>
      </w:pPr>
    </w:lvl>
    <w:lvl w:ilvl="7" w:tplc="08090019" w:tentative="1">
      <w:start w:val="1"/>
      <w:numFmt w:val="lowerLetter"/>
      <w:lvlText w:val="%8."/>
      <w:lvlJc w:val="left"/>
      <w:pPr>
        <w:ind w:left="6440" w:hanging="360"/>
      </w:pPr>
    </w:lvl>
    <w:lvl w:ilvl="8" w:tplc="0809001B" w:tentative="1">
      <w:start w:val="1"/>
      <w:numFmt w:val="lowerRoman"/>
      <w:lvlText w:val="%9."/>
      <w:lvlJc w:val="right"/>
      <w:pPr>
        <w:ind w:left="7160" w:hanging="180"/>
      </w:pPr>
    </w:lvl>
  </w:abstractNum>
  <w:abstractNum w:abstractNumId="140" w15:restartNumberingAfterBreak="0">
    <w:nsid w:val="69604F8C"/>
    <w:multiLevelType w:val="hybridMultilevel"/>
    <w:tmpl w:val="65BE9FEA"/>
    <w:lvl w:ilvl="0" w:tplc="2B2ED2EC">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1" w15:restartNumberingAfterBreak="0">
    <w:nsid w:val="69912C4B"/>
    <w:multiLevelType w:val="hybridMultilevel"/>
    <w:tmpl w:val="E8E0704E"/>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2" w15:restartNumberingAfterBreak="0">
    <w:nsid w:val="69966DD3"/>
    <w:multiLevelType w:val="hybridMultilevel"/>
    <w:tmpl w:val="1298BA5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3" w15:restartNumberingAfterBreak="0">
    <w:nsid w:val="6A661DAB"/>
    <w:multiLevelType w:val="hybridMultilevel"/>
    <w:tmpl w:val="2E447256"/>
    <w:lvl w:ilvl="0" w:tplc="D8D037A6">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4" w15:restartNumberingAfterBreak="0">
    <w:nsid w:val="6B0C0806"/>
    <w:multiLevelType w:val="hybridMultilevel"/>
    <w:tmpl w:val="9A70333E"/>
    <w:lvl w:ilvl="0" w:tplc="516AC9A2">
      <w:start w:val="1"/>
      <w:numFmt w:val="lowerLetter"/>
      <w:pStyle w:val="NL4"/>
      <w:lvlText w:val="%1)"/>
      <w:lvlJc w:val="left"/>
      <w:pPr>
        <w:ind w:left="1400" w:hanging="360"/>
      </w:pPr>
    </w:lvl>
    <w:lvl w:ilvl="1" w:tplc="08090019" w:tentative="1">
      <w:start w:val="1"/>
      <w:numFmt w:val="lowerLetter"/>
      <w:lvlText w:val="%2."/>
      <w:lvlJc w:val="left"/>
      <w:pPr>
        <w:ind w:left="2120" w:hanging="360"/>
      </w:pPr>
    </w:lvl>
    <w:lvl w:ilvl="2" w:tplc="0809001B" w:tentative="1">
      <w:start w:val="1"/>
      <w:numFmt w:val="lowerRoman"/>
      <w:lvlText w:val="%3."/>
      <w:lvlJc w:val="right"/>
      <w:pPr>
        <w:ind w:left="2840" w:hanging="180"/>
      </w:pPr>
    </w:lvl>
    <w:lvl w:ilvl="3" w:tplc="0809000F" w:tentative="1">
      <w:start w:val="1"/>
      <w:numFmt w:val="decimal"/>
      <w:lvlText w:val="%4."/>
      <w:lvlJc w:val="left"/>
      <w:pPr>
        <w:ind w:left="3560" w:hanging="360"/>
      </w:pPr>
    </w:lvl>
    <w:lvl w:ilvl="4" w:tplc="08090019" w:tentative="1">
      <w:start w:val="1"/>
      <w:numFmt w:val="lowerLetter"/>
      <w:lvlText w:val="%5."/>
      <w:lvlJc w:val="left"/>
      <w:pPr>
        <w:ind w:left="4280" w:hanging="360"/>
      </w:pPr>
    </w:lvl>
    <w:lvl w:ilvl="5" w:tplc="0809001B" w:tentative="1">
      <w:start w:val="1"/>
      <w:numFmt w:val="lowerRoman"/>
      <w:lvlText w:val="%6."/>
      <w:lvlJc w:val="right"/>
      <w:pPr>
        <w:ind w:left="5000" w:hanging="180"/>
      </w:pPr>
    </w:lvl>
    <w:lvl w:ilvl="6" w:tplc="0809000F" w:tentative="1">
      <w:start w:val="1"/>
      <w:numFmt w:val="decimal"/>
      <w:lvlText w:val="%7."/>
      <w:lvlJc w:val="left"/>
      <w:pPr>
        <w:ind w:left="5720" w:hanging="360"/>
      </w:pPr>
    </w:lvl>
    <w:lvl w:ilvl="7" w:tplc="08090019" w:tentative="1">
      <w:start w:val="1"/>
      <w:numFmt w:val="lowerLetter"/>
      <w:lvlText w:val="%8."/>
      <w:lvlJc w:val="left"/>
      <w:pPr>
        <w:ind w:left="6440" w:hanging="360"/>
      </w:pPr>
    </w:lvl>
    <w:lvl w:ilvl="8" w:tplc="0809001B" w:tentative="1">
      <w:start w:val="1"/>
      <w:numFmt w:val="lowerRoman"/>
      <w:lvlText w:val="%9."/>
      <w:lvlJc w:val="right"/>
      <w:pPr>
        <w:ind w:left="7160" w:hanging="180"/>
      </w:pPr>
    </w:lvl>
  </w:abstractNum>
  <w:abstractNum w:abstractNumId="145" w15:restartNumberingAfterBreak="0">
    <w:nsid w:val="6B207BEB"/>
    <w:multiLevelType w:val="hybridMultilevel"/>
    <w:tmpl w:val="98684360"/>
    <w:lvl w:ilvl="0" w:tplc="F19A3028">
      <w:start w:val="1"/>
      <w:numFmt w:val="lowerRoman"/>
      <w:lvlText w:val="%1."/>
      <w:lvlJc w:val="left"/>
      <w:pPr>
        <w:tabs>
          <w:tab w:val="num" w:pos="679"/>
        </w:tabs>
        <w:ind w:left="1700" w:hanging="340"/>
      </w:pPr>
      <w:rPr>
        <w:rFonts w:hint="default"/>
        <w:b w:val="0"/>
        <w:i w:val="0"/>
        <w:color w:val="auto"/>
        <w:sz w:val="22"/>
      </w:rPr>
    </w:lvl>
    <w:lvl w:ilvl="1" w:tplc="0809001B">
      <w:start w:val="1"/>
      <w:numFmt w:val="bullet"/>
      <w:lvlText w:val="o"/>
      <w:lvlJc w:val="left"/>
      <w:pPr>
        <w:tabs>
          <w:tab w:val="num" w:pos="679"/>
        </w:tabs>
        <w:ind w:left="2040" w:hanging="340"/>
      </w:pPr>
      <w:rPr>
        <w:rFonts w:ascii="Courier New" w:hAnsi="Courier New" w:hint="default"/>
      </w:rPr>
    </w:lvl>
    <w:lvl w:ilvl="2" w:tplc="3FCCEC2E">
      <w:start w:val="1"/>
      <w:numFmt w:val="bullet"/>
      <w:lvlText w:val="‒"/>
      <w:lvlJc w:val="left"/>
      <w:pPr>
        <w:tabs>
          <w:tab w:val="num" w:pos="679"/>
        </w:tabs>
        <w:ind w:left="2380" w:hanging="340"/>
      </w:pPr>
      <w:rPr>
        <w:rFonts w:ascii="Calibri" w:hAnsi="Calibri" w:hint="default"/>
      </w:rPr>
    </w:lvl>
    <w:lvl w:ilvl="3" w:tplc="1B2CDE76">
      <w:start w:val="1"/>
      <w:numFmt w:val="bullet"/>
      <w:lvlText w:val="‒"/>
      <w:lvlJc w:val="left"/>
      <w:pPr>
        <w:tabs>
          <w:tab w:val="num" w:pos="679"/>
        </w:tabs>
        <w:ind w:left="2720" w:hanging="340"/>
      </w:pPr>
      <w:rPr>
        <w:rFonts w:ascii="Calibri" w:hAnsi="Calibri" w:hint="default"/>
      </w:rPr>
    </w:lvl>
    <w:lvl w:ilvl="4" w:tplc="EB20ACEC">
      <w:start w:val="1"/>
      <w:numFmt w:val="bullet"/>
      <w:lvlText w:val="‒"/>
      <w:lvlJc w:val="left"/>
      <w:pPr>
        <w:tabs>
          <w:tab w:val="num" w:pos="679"/>
        </w:tabs>
        <w:ind w:left="3061" w:hanging="341"/>
      </w:pPr>
      <w:rPr>
        <w:rFonts w:ascii="Calibri" w:hAnsi="Calibri" w:hint="default"/>
      </w:rPr>
    </w:lvl>
    <w:lvl w:ilvl="5" w:tplc="04090005" w:tentative="1">
      <w:start w:val="1"/>
      <w:numFmt w:val="bullet"/>
      <w:lvlText w:val=""/>
      <w:lvlJc w:val="left"/>
      <w:pPr>
        <w:ind w:left="5113" w:hanging="360"/>
      </w:pPr>
      <w:rPr>
        <w:rFonts w:ascii="Wingdings" w:hAnsi="Wingdings" w:hint="default"/>
      </w:rPr>
    </w:lvl>
    <w:lvl w:ilvl="6" w:tplc="04090001" w:tentative="1">
      <w:start w:val="1"/>
      <w:numFmt w:val="bullet"/>
      <w:lvlText w:val=""/>
      <w:lvlJc w:val="left"/>
      <w:pPr>
        <w:ind w:left="5833" w:hanging="360"/>
      </w:pPr>
      <w:rPr>
        <w:rFonts w:ascii="Symbol" w:hAnsi="Symbol" w:hint="default"/>
      </w:rPr>
    </w:lvl>
    <w:lvl w:ilvl="7" w:tplc="04090003" w:tentative="1">
      <w:start w:val="1"/>
      <w:numFmt w:val="bullet"/>
      <w:lvlText w:val="o"/>
      <w:lvlJc w:val="left"/>
      <w:pPr>
        <w:ind w:left="6553" w:hanging="360"/>
      </w:pPr>
      <w:rPr>
        <w:rFonts w:ascii="Courier New" w:hAnsi="Courier New" w:cs="Courier New" w:hint="default"/>
      </w:rPr>
    </w:lvl>
    <w:lvl w:ilvl="8" w:tplc="04090005" w:tentative="1">
      <w:start w:val="1"/>
      <w:numFmt w:val="bullet"/>
      <w:lvlText w:val=""/>
      <w:lvlJc w:val="left"/>
      <w:pPr>
        <w:ind w:left="7273" w:hanging="360"/>
      </w:pPr>
      <w:rPr>
        <w:rFonts w:ascii="Wingdings" w:hAnsi="Wingdings" w:hint="default"/>
      </w:rPr>
    </w:lvl>
  </w:abstractNum>
  <w:abstractNum w:abstractNumId="146" w15:restartNumberingAfterBreak="0">
    <w:nsid w:val="6B240ABC"/>
    <w:multiLevelType w:val="hybridMultilevel"/>
    <w:tmpl w:val="73B2F746"/>
    <w:lvl w:ilvl="0" w:tplc="EC40EEC4">
      <w:start w:val="1"/>
      <w:numFmt w:val="bullet"/>
      <w:pStyle w:val="Annotation"/>
      <w:lvlText w:val="‒"/>
      <w:lvlJc w:val="left"/>
      <w:pPr>
        <w:ind w:left="981" w:hanging="414"/>
      </w:pPr>
      <w:rPr>
        <w:rFonts w:ascii="Calibri" w:hAnsi="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7" w15:restartNumberingAfterBreak="0">
    <w:nsid w:val="6B9053DC"/>
    <w:multiLevelType w:val="hybridMultilevel"/>
    <w:tmpl w:val="C8F4E33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8" w15:restartNumberingAfterBreak="0">
    <w:nsid w:val="6C6943FB"/>
    <w:multiLevelType w:val="hybridMultilevel"/>
    <w:tmpl w:val="76AC17D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9" w15:restartNumberingAfterBreak="0">
    <w:nsid w:val="6C7F0D19"/>
    <w:multiLevelType w:val="hybridMultilevel"/>
    <w:tmpl w:val="3222C31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0" w15:restartNumberingAfterBreak="0">
    <w:nsid w:val="6D21539C"/>
    <w:multiLevelType w:val="hybridMultilevel"/>
    <w:tmpl w:val="908E2AAC"/>
    <w:lvl w:ilvl="0" w:tplc="F19A3028">
      <w:start w:val="1"/>
      <w:numFmt w:val="lowerRoman"/>
      <w:lvlText w:val="%1."/>
      <w:lvlJc w:val="left"/>
      <w:pPr>
        <w:tabs>
          <w:tab w:val="num" w:pos="1020"/>
        </w:tabs>
        <w:ind w:left="2041" w:hanging="340"/>
      </w:pPr>
      <w:rPr>
        <w:rFonts w:hint="default"/>
        <w:b w:val="0"/>
        <w:i w:val="0"/>
        <w:color w:val="auto"/>
        <w:sz w:val="22"/>
      </w:rPr>
    </w:lvl>
    <w:lvl w:ilvl="1" w:tplc="0809001B">
      <w:start w:val="1"/>
      <w:numFmt w:val="bullet"/>
      <w:lvlText w:val="o"/>
      <w:lvlJc w:val="left"/>
      <w:pPr>
        <w:tabs>
          <w:tab w:val="num" w:pos="1020"/>
        </w:tabs>
        <w:ind w:left="2381" w:hanging="340"/>
      </w:pPr>
      <w:rPr>
        <w:rFonts w:ascii="Courier New" w:hAnsi="Courier New" w:hint="default"/>
      </w:rPr>
    </w:lvl>
    <w:lvl w:ilvl="2" w:tplc="3FCCEC2E">
      <w:start w:val="1"/>
      <w:numFmt w:val="bullet"/>
      <w:lvlText w:val="‒"/>
      <w:lvlJc w:val="left"/>
      <w:pPr>
        <w:tabs>
          <w:tab w:val="num" w:pos="1020"/>
        </w:tabs>
        <w:ind w:left="2721" w:hanging="340"/>
      </w:pPr>
      <w:rPr>
        <w:rFonts w:ascii="Calibri" w:hAnsi="Calibri" w:hint="default"/>
      </w:rPr>
    </w:lvl>
    <w:lvl w:ilvl="3" w:tplc="1B2CDE76">
      <w:start w:val="1"/>
      <w:numFmt w:val="bullet"/>
      <w:lvlText w:val="‒"/>
      <w:lvlJc w:val="left"/>
      <w:pPr>
        <w:tabs>
          <w:tab w:val="num" w:pos="1020"/>
        </w:tabs>
        <w:ind w:left="3061" w:hanging="340"/>
      </w:pPr>
      <w:rPr>
        <w:rFonts w:ascii="Calibri" w:hAnsi="Calibri" w:hint="default"/>
      </w:rPr>
    </w:lvl>
    <w:lvl w:ilvl="4" w:tplc="EB20ACEC">
      <w:start w:val="1"/>
      <w:numFmt w:val="bullet"/>
      <w:lvlText w:val="‒"/>
      <w:lvlJc w:val="left"/>
      <w:pPr>
        <w:tabs>
          <w:tab w:val="num" w:pos="1020"/>
        </w:tabs>
        <w:ind w:left="3402" w:hanging="341"/>
      </w:pPr>
      <w:rPr>
        <w:rFonts w:ascii="Calibri" w:hAnsi="Calibri"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51" w15:restartNumberingAfterBreak="0">
    <w:nsid w:val="6E8A73CE"/>
    <w:multiLevelType w:val="hybridMultilevel"/>
    <w:tmpl w:val="06347BC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2" w15:restartNumberingAfterBreak="0">
    <w:nsid w:val="6F706617"/>
    <w:multiLevelType w:val="hybridMultilevel"/>
    <w:tmpl w:val="A3C077B0"/>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3" w15:restartNumberingAfterBreak="0">
    <w:nsid w:val="71617698"/>
    <w:multiLevelType w:val="hybridMultilevel"/>
    <w:tmpl w:val="ED62760C"/>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4" w15:restartNumberingAfterBreak="0">
    <w:nsid w:val="727967F4"/>
    <w:multiLevelType w:val="hybridMultilevel"/>
    <w:tmpl w:val="A46892BA"/>
    <w:lvl w:ilvl="0" w:tplc="3FCCEC2E">
      <w:start w:val="1"/>
      <w:numFmt w:val="bullet"/>
      <w:lvlText w:val="‒"/>
      <w:lvlJc w:val="left"/>
      <w:pPr>
        <w:tabs>
          <w:tab w:val="num" w:pos="340"/>
        </w:tabs>
        <w:ind w:left="1361" w:hanging="340"/>
      </w:pPr>
      <w:rPr>
        <w:rFonts w:ascii="Calibri" w:hAnsi="Calibri"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55" w15:restartNumberingAfterBreak="0">
    <w:nsid w:val="73084533"/>
    <w:multiLevelType w:val="hybridMultilevel"/>
    <w:tmpl w:val="218A2E40"/>
    <w:lvl w:ilvl="0" w:tplc="0809001B">
      <w:start w:val="1"/>
      <w:numFmt w:val="lowerLetter"/>
      <w:lvlText w:val="%1)"/>
      <w:lvlJc w:val="left"/>
      <w:pPr>
        <w:ind w:left="3184" w:hanging="360"/>
      </w:pPr>
    </w:lvl>
    <w:lvl w:ilvl="1" w:tplc="08090019" w:tentative="1">
      <w:start w:val="1"/>
      <w:numFmt w:val="lowerLetter"/>
      <w:lvlText w:val="%2."/>
      <w:lvlJc w:val="left"/>
      <w:pPr>
        <w:ind w:left="3904" w:hanging="360"/>
      </w:pPr>
    </w:lvl>
    <w:lvl w:ilvl="2" w:tplc="0809001B" w:tentative="1">
      <w:start w:val="1"/>
      <w:numFmt w:val="lowerRoman"/>
      <w:lvlText w:val="%3."/>
      <w:lvlJc w:val="right"/>
      <w:pPr>
        <w:ind w:left="4624" w:hanging="180"/>
      </w:pPr>
    </w:lvl>
    <w:lvl w:ilvl="3" w:tplc="0809000F" w:tentative="1">
      <w:start w:val="1"/>
      <w:numFmt w:val="decimal"/>
      <w:lvlText w:val="%4."/>
      <w:lvlJc w:val="left"/>
      <w:pPr>
        <w:ind w:left="5344" w:hanging="360"/>
      </w:pPr>
    </w:lvl>
    <w:lvl w:ilvl="4" w:tplc="08090019" w:tentative="1">
      <w:start w:val="1"/>
      <w:numFmt w:val="lowerLetter"/>
      <w:lvlText w:val="%5."/>
      <w:lvlJc w:val="left"/>
      <w:pPr>
        <w:ind w:left="6064" w:hanging="360"/>
      </w:pPr>
    </w:lvl>
    <w:lvl w:ilvl="5" w:tplc="0809001B" w:tentative="1">
      <w:start w:val="1"/>
      <w:numFmt w:val="lowerRoman"/>
      <w:lvlText w:val="%6."/>
      <w:lvlJc w:val="right"/>
      <w:pPr>
        <w:ind w:left="6784" w:hanging="180"/>
      </w:pPr>
    </w:lvl>
    <w:lvl w:ilvl="6" w:tplc="0809000F" w:tentative="1">
      <w:start w:val="1"/>
      <w:numFmt w:val="decimal"/>
      <w:lvlText w:val="%7."/>
      <w:lvlJc w:val="left"/>
      <w:pPr>
        <w:ind w:left="7504" w:hanging="360"/>
      </w:pPr>
    </w:lvl>
    <w:lvl w:ilvl="7" w:tplc="08090019" w:tentative="1">
      <w:start w:val="1"/>
      <w:numFmt w:val="lowerLetter"/>
      <w:lvlText w:val="%8."/>
      <w:lvlJc w:val="left"/>
      <w:pPr>
        <w:ind w:left="8224" w:hanging="360"/>
      </w:pPr>
    </w:lvl>
    <w:lvl w:ilvl="8" w:tplc="0809001B" w:tentative="1">
      <w:start w:val="1"/>
      <w:numFmt w:val="lowerRoman"/>
      <w:lvlText w:val="%9."/>
      <w:lvlJc w:val="right"/>
      <w:pPr>
        <w:ind w:left="8944" w:hanging="180"/>
      </w:pPr>
    </w:lvl>
  </w:abstractNum>
  <w:abstractNum w:abstractNumId="156" w15:restartNumberingAfterBreak="0">
    <w:nsid w:val="746A4A40"/>
    <w:multiLevelType w:val="hybridMultilevel"/>
    <w:tmpl w:val="4650DFD4"/>
    <w:lvl w:ilvl="0" w:tplc="631A7C9E">
      <w:start w:val="1"/>
      <w:numFmt w:val="lowerLetter"/>
      <w:pStyle w:val="NL2"/>
      <w:lvlText w:val="%1."/>
      <w:lvlJc w:val="left"/>
      <w:pPr>
        <w:ind w:left="2758" w:hanging="360"/>
      </w:pPr>
      <w:rPr>
        <w:rFonts w:hint="default"/>
        <w:b w:val="0"/>
        <w:i w:val="0"/>
        <w:color w:val="auto"/>
        <w:sz w:val="22"/>
      </w:rPr>
    </w:lvl>
    <w:lvl w:ilvl="1" w:tplc="08090019" w:tentative="1">
      <w:start w:val="1"/>
      <w:numFmt w:val="lowerLetter"/>
      <w:lvlText w:val="%2."/>
      <w:lvlJc w:val="left"/>
      <w:pPr>
        <w:ind w:left="3478" w:hanging="360"/>
      </w:pPr>
    </w:lvl>
    <w:lvl w:ilvl="2" w:tplc="0809001B" w:tentative="1">
      <w:start w:val="1"/>
      <w:numFmt w:val="lowerRoman"/>
      <w:lvlText w:val="%3."/>
      <w:lvlJc w:val="right"/>
      <w:pPr>
        <w:ind w:left="4198" w:hanging="180"/>
      </w:pPr>
    </w:lvl>
    <w:lvl w:ilvl="3" w:tplc="0809000F" w:tentative="1">
      <w:start w:val="1"/>
      <w:numFmt w:val="decimal"/>
      <w:lvlText w:val="%4."/>
      <w:lvlJc w:val="left"/>
      <w:pPr>
        <w:ind w:left="4918" w:hanging="360"/>
      </w:pPr>
    </w:lvl>
    <w:lvl w:ilvl="4" w:tplc="08090019" w:tentative="1">
      <w:start w:val="1"/>
      <w:numFmt w:val="lowerLetter"/>
      <w:lvlText w:val="%5."/>
      <w:lvlJc w:val="left"/>
      <w:pPr>
        <w:ind w:left="5638" w:hanging="360"/>
      </w:pPr>
    </w:lvl>
    <w:lvl w:ilvl="5" w:tplc="0809001B" w:tentative="1">
      <w:start w:val="1"/>
      <w:numFmt w:val="lowerRoman"/>
      <w:lvlText w:val="%6."/>
      <w:lvlJc w:val="right"/>
      <w:pPr>
        <w:ind w:left="6358" w:hanging="180"/>
      </w:pPr>
    </w:lvl>
    <w:lvl w:ilvl="6" w:tplc="0809000F" w:tentative="1">
      <w:start w:val="1"/>
      <w:numFmt w:val="decimal"/>
      <w:lvlText w:val="%7."/>
      <w:lvlJc w:val="left"/>
      <w:pPr>
        <w:ind w:left="7078" w:hanging="360"/>
      </w:pPr>
    </w:lvl>
    <w:lvl w:ilvl="7" w:tplc="08090019" w:tentative="1">
      <w:start w:val="1"/>
      <w:numFmt w:val="lowerLetter"/>
      <w:lvlText w:val="%8."/>
      <w:lvlJc w:val="left"/>
      <w:pPr>
        <w:ind w:left="7798" w:hanging="360"/>
      </w:pPr>
    </w:lvl>
    <w:lvl w:ilvl="8" w:tplc="0809001B" w:tentative="1">
      <w:start w:val="1"/>
      <w:numFmt w:val="lowerRoman"/>
      <w:lvlText w:val="%9."/>
      <w:lvlJc w:val="right"/>
      <w:pPr>
        <w:ind w:left="8518" w:hanging="180"/>
      </w:pPr>
    </w:lvl>
  </w:abstractNum>
  <w:abstractNum w:abstractNumId="157" w15:restartNumberingAfterBreak="0">
    <w:nsid w:val="75D65470"/>
    <w:multiLevelType w:val="hybridMultilevel"/>
    <w:tmpl w:val="090A24AA"/>
    <w:lvl w:ilvl="0" w:tplc="6366BB82">
      <w:start w:val="1"/>
      <w:numFmt w:val="lowerLetter"/>
      <w:lvlText w:val="%1)"/>
      <w:lvlJc w:val="left"/>
      <w:pPr>
        <w:ind w:left="6944" w:hanging="360"/>
      </w:pPr>
      <w:rPr>
        <w:rFonts w:ascii="Times New Roman" w:hAnsi="Times New Roman"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8" w15:restartNumberingAfterBreak="0">
    <w:nsid w:val="75ED4714"/>
    <w:multiLevelType w:val="hybridMultilevel"/>
    <w:tmpl w:val="1670076C"/>
    <w:lvl w:ilvl="0" w:tplc="F19A3028">
      <w:start w:val="1"/>
      <w:numFmt w:val="lowerRoman"/>
      <w:lvlText w:val="%1."/>
      <w:lvlJc w:val="left"/>
      <w:pPr>
        <w:tabs>
          <w:tab w:val="num" w:pos="1020"/>
        </w:tabs>
        <w:ind w:left="2041" w:hanging="340"/>
      </w:pPr>
      <w:rPr>
        <w:rFonts w:hint="default"/>
        <w:b w:val="0"/>
        <w:i w:val="0"/>
        <w:color w:val="auto"/>
        <w:sz w:val="22"/>
      </w:rPr>
    </w:lvl>
    <w:lvl w:ilvl="1" w:tplc="0809001B">
      <w:start w:val="1"/>
      <w:numFmt w:val="bullet"/>
      <w:lvlText w:val="o"/>
      <w:lvlJc w:val="left"/>
      <w:pPr>
        <w:tabs>
          <w:tab w:val="num" w:pos="1020"/>
        </w:tabs>
        <w:ind w:left="2381" w:hanging="340"/>
      </w:pPr>
      <w:rPr>
        <w:rFonts w:ascii="Courier New" w:hAnsi="Courier New" w:hint="default"/>
      </w:rPr>
    </w:lvl>
    <w:lvl w:ilvl="2" w:tplc="3FCCEC2E">
      <w:start w:val="1"/>
      <w:numFmt w:val="bullet"/>
      <w:lvlText w:val="‒"/>
      <w:lvlJc w:val="left"/>
      <w:pPr>
        <w:tabs>
          <w:tab w:val="num" w:pos="1020"/>
        </w:tabs>
        <w:ind w:left="2721" w:hanging="340"/>
      </w:pPr>
      <w:rPr>
        <w:rFonts w:ascii="Calibri" w:hAnsi="Calibri" w:hint="default"/>
      </w:rPr>
    </w:lvl>
    <w:lvl w:ilvl="3" w:tplc="1B2CDE76">
      <w:start w:val="1"/>
      <w:numFmt w:val="bullet"/>
      <w:lvlText w:val="‒"/>
      <w:lvlJc w:val="left"/>
      <w:pPr>
        <w:tabs>
          <w:tab w:val="num" w:pos="1020"/>
        </w:tabs>
        <w:ind w:left="3061" w:hanging="340"/>
      </w:pPr>
      <w:rPr>
        <w:rFonts w:ascii="Calibri" w:hAnsi="Calibri" w:hint="default"/>
      </w:rPr>
    </w:lvl>
    <w:lvl w:ilvl="4" w:tplc="EB20ACEC">
      <w:start w:val="1"/>
      <w:numFmt w:val="bullet"/>
      <w:lvlText w:val="‒"/>
      <w:lvlJc w:val="left"/>
      <w:pPr>
        <w:tabs>
          <w:tab w:val="num" w:pos="1020"/>
        </w:tabs>
        <w:ind w:left="3402" w:hanging="341"/>
      </w:pPr>
      <w:rPr>
        <w:rFonts w:ascii="Calibri" w:hAnsi="Calibri"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59" w15:restartNumberingAfterBreak="0">
    <w:nsid w:val="77461B17"/>
    <w:multiLevelType w:val="hybridMultilevel"/>
    <w:tmpl w:val="F3687474"/>
    <w:lvl w:ilvl="0" w:tplc="10B2ECE4">
      <w:start w:val="1"/>
      <w:numFmt w:val="lowerRoman"/>
      <w:lvlText w:val="%1."/>
      <w:lvlJc w:val="right"/>
      <w:pPr>
        <w:ind w:left="1720" w:hanging="360"/>
      </w:pPr>
      <w:rPr>
        <w:color w:val="auto"/>
      </w:rPr>
    </w:lvl>
    <w:lvl w:ilvl="1" w:tplc="08090019">
      <w:start w:val="1"/>
      <w:numFmt w:val="lowerLetter"/>
      <w:lvlText w:val="%2."/>
      <w:lvlJc w:val="left"/>
      <w:pPr>
        <w:ind w:left="2440" w:hanging="360"/>
      </w:pPr>
    </w:lvl>
    <w:lvl w:ilvl="2" w:tplc="0809001B" w:tentative="1">
      <w:start w:val="1"/>
      <w:numFmt w:val="lowerRoman"/>
      <w:lvlText w:val="%3."/>
      <w:lvlJc w:val="right"/>
      <w:pPr>
        <w:ind w:left="3160" w:hanging="180"/>
      </w:pPr>
    </w:lvl>
    <w:lvl w:ilvl="3" w:tplc="0809000F" w:tentative="1">
      <w:start w:val="1"/>
      <w:numFmt w:val="decimal"/>
      <w:lvlText w:val="%4."/>
      <w:lvlJc w:val="left"/>
      <w:pPr>
        <w:ind w:left="3880" w:hanging="360"/>
      </w:pPr>
    </w:lvl>
    <w:lvl w:ilvl="4" w:tplc="08090019" w:tentative="1">
      <w:start w:val="1"/>
      <w:numFmt w:val="lowerLetter"/>
      <w:lvlText w:val="%5."/>
      <w:lvlJc w:val="left"/>
      <w:pPr>
        <w:ind w:left="4600" w:hanging="360"/>
      </w:pPr>
    </w:lvl>
    <w:lvl w:ilvl="5" w:tplc="0809001B" w:tentative="1">
      <w:start w:val="1"/>
      <w:numFmt w:val="lowerRoman"/>
      <w:lvlText w:val="%6."/>
      <w:lvlJc w:val="right"/>
      <w:pPr>
        <w:ind w:left="5320" w:hanging="180"/>
      </w:pPr>
    </w:lvl>
    <w:lvl w:ilvl="6" w:tplc="0809000F" w:tentative="1">
      <w:start w:val="1"/>
      <w:numFmt w:val="decimal"/>
      <w:lvlText w:val="%7."/>
      <w:lvlJc w:val="left"/>
      <w:pPr>
        <w:ind w:left="6040" w:hanging="360"/>
      </w:pPr>
    </w:lvl>
    <w:lvl w:ilvl="7" w:tplc="08090019" w:tentative="1">
      <w:start w:val="1"/>
      <w:numFmt w:val="lowerLetter"/>
      <w:lvlText w:val="%8."/>
      <w:lvlJc w:val="left"/>
      <w:pPr>
        <w:ind w:left="6760" w:hanging="360"/>
      </w:pPr>
    </w:lvl>
    <w:lvl w:ilvl="8" w:tplc="0809001B" w:tentative="1">
      <w:start w:val="1"/>
      <w:numFmt w:val="lowerRoman"/>
      <w:lvlText w:val="%9."/>
      <w:lvlJc w:val="right"/>
      <w:pPr>
        <w:ind w:left="7480" w:hanging="180"/>
      </w:pPr>
    </w:lvl>
  </w:abstractNum>
  <w:abstractNum w:abstractNumId="160" w15:restartNumberingAfterBreak="0">
    <w:nsid w:val="77832DF7"/>
    <w:multiLevelType w:val="hybridMultilevel"/>
    <w:tmpl w:val="1C9A8416"/>
    <w:lvl w:ilvl="0" w:tplc="3FCCEC2E">
      <w:start w:val="1"/>
      <w:numFmt w:val="bullet"/>
      <w:lvlText w:val="‒"/>
      <w:lvlJc w:val="left"/>
      <w:pPr>
        <w:tabs>
          <w:tab w:val="num" w:pos="340"/>
        </w:tabs>
        <w:ind w:left="1361" w:hanging="340"/>
      </w:pPr>
      <w:rPr>
        <w:rFonts w:ascii="Calibri" w:hAnsi="Calibri"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1" w15:restartNumberingAfterBreak="0">
    <w:nsid w:val="78564165"/>
    <w:multiLevelType w:val="hybridMultilevel"/>
    <w:tmpl w:val="E7AC6C08"/>
    <w:lvl w:ilvl="0" w:tplc="F19A3028">
      <w:start w:val="1"/>
      <w:numFmt w:val="lowerRoman"/>
      <w:lvlText w:val="%1."/>
      <w:lvlJc w:val="left"/>
      <w:pPr>
        <w:tabs>
          <w:tab w:val="num" w:pos="340"/>
        </w:tabs>
        <w:ind w:left="1361" w:hanging="340"/>
      </w:pPr>
      <w:rPr>
        <w:rFonts w:hint="default"/>
        <w:b w:val="0"/>
        <w:i w:val="0"/>
        <w:color w:val="auto"/>
        <w:sz w:val="22"/>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2" w15:restartNumberingAfterBreak="0">
    <w:nsid w:val="79521BEC"/>
    <w:multiLevelType w:val="hybridMultilevel"/>
    <w:tmpl w:val="AFCCD96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3" w15:restartNumberingAfterBreak="0">
    <w:nsid w:val="7D2556E0"/>
    <w:multiLevelType w:val="hybridMultilevel"/>
    <w:tmpl w:val="4FB4408A"/>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4" w15:restartNumberingAfterBreak="0">
    <w:nsid w:val="7D4B7A86"/>
    <w:multiLevelType w:val="hybridMultilevel"/>
    <w:tmpl w:val="7D40864A"/>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5" w15:restartNumberingAfterBreak="0">
    <w:nsid w:val="7D8C3C46"/>
    <w:multiLevelType w:val="hybridMultilevel"/>
    <w:tmpl w:val="20FCBDE6"/>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6" w15:restartNumberingAfterBreak="0">
    <w:nsid w:val="7D981548"/>
    <w:multiLevelType w:val="hybridMultilevel"/>
    <w:tmpl w:val="659A5512"/>
    <w:lvl w:ilvl="0" w:tplc="3FCCEC2E">
      <w:start w:val="1"/>
      <w:numFmt w:val="bullet"/>
      <w:lvlText w:val="‒"/>
      <w:lvlJc w:val="left"/>
      <w:pPr>
        <w:tabs>
          <w:tab w:val="num" w:pos="340"/>
        </w:tabs>
        <w:ind w:left="1361" w:hanging="340"/>
      </w:pPr>
      <w:rPr>
        <w:rFonts w:ascii="Calibri" w:hAnsi="Calibri"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7" w15:restartNumberingAfterBreak="0">
    <w:nsid w:val="7DF02F6F"/>
    <w:multiLevelType w:val="hybridMultilevel"/>
    <w:tmpl w:val="E912EC84"/>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8" w15:restartNumberingAfterBreak="0">
    <w:nsid w:val="7E764A1B"/>
    <w:multiLevelType w:val="hybridMultilevel"/>
    <w:tmpl w:val="80E44586"/>
    <w:lvl w:ilvl="0" w:tplc="4DD6949A">
      <w:start w:val="1"/>
      <w:numFmt w:val="bullet"/>
      <w:lvlText w:val=""/>
      <w:lvlJc w:val="left"/>
      <w:pPr>
        <w:tabs>
          <w:tab w:val="num" w:pos="340"/>
        </w:tabs>
        <w:ind w:left="1361" w:hanging="340"/>
      </w:pPr>
      <w:rPr>
        <w:rFonts w:ascii="Symbol" w:hAnsi="Symbol" w:hint="default"/>
      </w:rPr>
    </w:lvl>
    <w:lvl w:ilvl="1" w:tplc="0809001B">
      <w:start w:val="1"/>
      <w:numFmt w:val="bullet"/>
      <w:lvlText w:val="o"/>
      <w:lvlJc w:val="left"/>
      <w:pPr>
        <w:tabs>
          <w:tab w:val="num" w:pos="340"/>
        </w:tabs>
        <w:ind w:left="1701" w:hanging="340"/>
      </w:pPr>
      <w:rPr>
        <w:rFonts w:ascii="Courier New" w:hAnsi="Courier New" w:hint="default"/>
      </w:rPr>
    </w:lvl>
    <w:lvl w:ilvl="2" w:tplc="0809001B">
      <w:start w:val="1"/>
      <w:numFmt w:val="lowerRoman"/>
      <w:lvlText w:val="%3."/>
      <w:lvlJc w:val="right"/>
      <w:pPr>
        <w:tabs>
          <w:tab w:val="num" w:pos="340"/>
        </w:tabs>
        <w:ind w:left="2041" w:hanging="340"/>
      </w:pPr>
      <w:rPr>
        <w:rFonts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69" w15:restartNumberingAfterBreak="0">
    <w:nsid w:val="7EA55A91"/>
    <w:multiLevelType w:val="hybridMultilevel"/>
    <w:tmpl w:val="816A4A12"/>
    <w:lvl w:ilvl="0" w:tplc="08090017">
      <w:start w:val="1"/>
      <w:numFmt w:val="lowerLetter"/>
      <w:lvlText w:val="%1)"/>
      <w:lvlJc w:val="left"/>
      <w:pPr>
        <w:tabs>
          <w:tab w:val="num" w:pos="340"/>
        </w:tabs>
        <w:ind w:left="1361" w:hanging="340"/>
      </w:pPr>
      <w:rPr>
        <w:rFonts w:hint="default"/>
      </w:rPr>
    </w:lvl>
    <w:lvl w:ilvl="1" w:tplc="0809001B">
      <w:start w:val="1"/>
      <w:numFmt w:val="bullet"/>
      <w:lvlText w:val="o"/>
      <w:lvlJc w:val="left"/>
      <w:pPr>
        <w:tabs>
          <w:tab w:val="num" w:pos="340"/>
        </w:tabs>
        <w:ind w:left="1701" w:hanging="340"/>
      </w:pPr>
      <w:rPr>
        <w:rFonts w:ascii="Courier New" w:hAnsi="Courier New" w:hint="default"/>
      </w:rPr>
    </w:lvl>
    <w:lvl w:ilvl="2" w:tplc="3FCCEC2E">
      <w:start w:val="1"/>
      <w:numFmt w:val="bullet"/>
      <w:lvlText w:val="‒"/>
      <w:lvlJc w:val="left"/>
      <w:pPr>
        <w:tabs>
          <w:tab w:val="num" w:pos="340"/>
        </w:tabs>
        <w:ind w:left="2041" w:hanging="340"/>
      </w:pPr>
      <w:rPr>
        <w:rFonts w:ascii="Calibri" w:hAnsi="Calibri" w:hint="default"/>
      </w:rPr>
    </w:lvl>
    <w:lvl w:ilvl="3" w:tplc="1B2CDE76">
      <w:start w:val="1"/>
      <w:numFmt w:val="bullet"/>
      <w:lvlText w:val="‒"/>
      <w:lvlJc w:val="left"/>
      <w:pPr>
        <w:tabs>
          <w:tab w:val="num" w:pos="340"/>
        </w:tabs>
        <w:ind w:left="2381" w:hanging="340"/>
      </w:pPr>
      <w:rPr>
        <w:rFonts w:ascii="Calibri" w:hAnsi="Calibri" w:hint="default"/>
      </w:rPr>
    </w:lvl>
    <w:lvl w:ilvl="4" w:tplc="EB20ACEC">
      <w:start w:val="1"/>
      <w:numFmt w:val="bullet"/>
      <w:lvlText w:val="‒"/>
      <w:lvlJc w:val="left"/>
      <w:pPr>
        <w:tabs>
          <w:tab w:val="num" w:pos="340"/>
        </w:tabs>
        <w:ind w:left="2722" w:hanging="341"/>
      </w:pPr>
      <w:rPr>
        <w:rFonts w:ascii="Calibri" w:hAnsi="Calibri"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num w:numId="1">
    <w:abstractNumId w:val="28"/>
  </w:num>
  <w:num w:numId="2">
    <w:abstractNumId w:val="16"/>
  </w:num>
  <w:num w:numId="3">
    <w:abstractNumId w:val="18"/>
  </w:num>
  <w:num w:numId="4">
    <w:abstractNumId w:val="92"/>
  </w:num>
  <w:num w:numId="5">
    <w:abstractNumId w:val="11"/>
  </w:num>
  <w:num w:numId="6">
    <w:abstractNumId w:val="52"/>
  </w:num>
  <w:num w:numId="7">
    <w:abstractNumId w:val="93"/>
  </w:num>
  <w:num w:numId="8">
    <w:abstractNumId w:val="117"/>
  </w:num>
  <w:num w:numId="9">
    <w:abstractNumId w:val="125"/>
  </w:num>
  <w:num w:numId="10">
    <w:abstractNumId w:val="73"/>
  </w:num>
  <w:num w:numId="11">
    <w:abstractNumId w:val="39"/>
  </w:num>
  <w:num w:numId="12">
    <w:abstractNumId w:val="33"/>
  </w:num>
  <w:num w:numId="13">
    <w:abstractNumId w:val="100"/>
  </w:num>
  <w:num w:numId="14">
    <w:abstractNumId w:val="134"/>
  </w:num>
  <w:num w:numId="15">
    <w:abstractNumId w:val="156"/>
  </w:num>
  <w:num w:numId="16">
    <w:abstractNumId w:val="139"/>
  </w:num>
  <w:num w:numId="17">
    <w:abstractNumId w:val="144"/>
  </w:num>
  <w:num w:numId="18">
    <w:abstractNumId w:val="19"/>
  </w:num>
  <w:num w:numId="19">
    <w:abstractNumId w:val="34"/>
  </w:num>
  <w:num w:numId="20">
    <w:abstractNumId w:val="122"/>
  </w:num>
  <w:num w:numId="21">
    <w:abstractNumId w:val="22"/>
  </w:num>
  <w:num w:numId="22">
    <w:abstractNumId w:val="146"/>
  </w:num>
  <w:num w:numId="23">
    <w:abstractNumId w:val="83"/>
  </w:num>
  <w:num w:numId="24">
    <w:abstractNumId w:val="89"/>
  </w:num>
  <w:num w:numId="25">
    <w:abstractNumId w:val="67"/>
  </w:num>
  <w:num w:numId="26">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9"/>
  </w:num>
  <w:num w:numId="29">
    <w:abstractNumId w:val="21"/>
    <w:lvlOverride w:ilvl="0">
      <w:startOverride w:val="1"/>
    </w:lvlOverride>
  </w:num>
  <w:num w:numId="30">
    <w:abstractNumId w:val="21"/>
    <w:lvlOverride w:ilvl="0">
      <w:startOverride w:val="1"/>
    </w:lvlOverride>
  </w:num>
  <w:num w:numId="31">
    <w:abstractNumId w:val="21"/>
    <w:lvlOverride w:ilvl="0">
      <w:startOverride w:val="1"/>
    </w:lvlOverride>
  </w:num>
  <w:num w:numId="32">
    <w:abstractNumId w:val="21"/>
    <w:lvlOverride w:ilvl="0">
      <w:startOverride w:val="1"/>
    </w:lvlOverride>
  </w:num>
  <w:num w:numId="33">
    <w:abstractNumId w:val="33"/>
    <w:lvlOverride w:ilvl="0">
      <w:startOverride w:val="1"/>
    </w:lvlOverride>
  </w:num>
  <w:num w:numId="34">
    <w:abstractNumId w:val="33"/>
    <w:lvlOverride w:ilvl="0">
      <w:startOverride w:val="1"/>
    </w:lvlOverride>
  </w:num>
  <w:num w:numId="35">
    <w:abstractNumId w:val="155"/>
  </w:num>
  <w:num w:numId="36">
    <w:abstractNumId w:val="157"/>
  </w:num>
  <w:num w:numId="37">
    <w:abstractNumId w:val="33"/>
    <w:lvlOverride w:ilvl="0">
      <w:startOverride w:val="1"/>
    </w:lvlOverride>
  </w:num>
  <w:num w:numId="38">
    <w:abstractNumId w:val="33"/>
    <w:lvlOverride w:ilvl="0">
      <w:startOverride w:val="1"/>
    </w:lvlOverride>
  </w:num>
  <w:num w:numId="39">
    <w:abstractNumId w:val="109"/>
    <w:lvlOverride w:ilvl="0"/>
    <w:lvlOverride w:ilvl="1">
      <w:startOverride w:val="1"/>
    </w:lvlOverride>
    <w:lvlOverride w:ilvl="2"/>
    <w:lvlOverride w:ilvl="3"/>
    <w:lvlOverride w:ilvl="4"/>
    <w:lvlOverride w:ilvl="5"/>
    <w:lvlOverride w:ilvl="6"/>
    <w:lvlOverride w:ilvl="7"/>
    <w:lvlOverride w:ilvl="8"/>
  </w:num>
  <w:num w:numId="40">
    <w:abstractNumId w:val="109"/>
    <w:lvlOverride w:ilvl="0"/>
    <w:lvlOverride w:ilvl="1">
      <w:startOverride w:val="1"/>
    </w:lvlOverride>
    <w:lvlOverride w:ilvl="2"/>
    <w:lvlOverride w:ilvl="3"/>
    <w:lvlOverride w:ilvl="4"/>
    <w:lvlOverride w:ilvl="5"/>
    <w:lvlOverride w:ilvl="6"/>
    <w:lvlOverride w:ilvl="7"/>
    <w:lvlOverride w:ilvl="8"/>
  </w:num>
  <w:num w:numId="41">
    <w:abstractNumId w:val="29"/>
  </w:num>
  <w:num w:numId="42">
    <w:abstractNumId w:val="88"/>
  </w:num>
  <w:num w:numId="43">
    <w:abstractNumId w:val="150"/>
  </w:num>
  <w:num w:numId="44">
    <w:abstractNumId w:val="158"/>
  </w:num>
  <w:num w:numId="45">
    <w:abstractNumId w:val="70"/>
  </w:num>
  <w:num w:numId="46">
    <w:abstractNumId w:val="167"/>
  </w:num>
  <w:num w:numId="47">
    <w:abstractNumId w:val="152"/>
  </w:num>
  <w:num w:numId="48">
    <w:abstractNumId w:val="101"/>
  </w:num>
  <w:num w:numId="49">
    <w:abstractNumId w:val="164"/>
  </w:num>
  <w:num w:numId="50">
    <w:abstractNumId w:val="5"/>
  </w:num>
  <w:num w:numId="51">
    <w:abstractNumId w:val="141"/>
  </w:num>
  <w:num w:numId="52">
    <w:abstractNumId w:val="145"/>
  </w:num>
  <w:num w:numId="53">
    <w:abstractNumId w:val="129"/>
  </w:num>
  <w:num w:numId="54">
    <w:abstractNumId w:val="100"/>
  </w:num>
  <w:num w:numId="55">
    <w:abstractNumId w:val="109"/>
  </w:num>
  <w:num w:numId="56">
    <w:abstractNumId w:val="44"/>
  </w:num>
  <w:num w:numId="57">
    <w:abstractNumId w:val="147"/>
  </w:num>
  <w:num w:numId="58">
    <w:abstractNumId w:val="48"/>
  </w:num>
  <w:num w:numId="59">
    <w:abstractNumId w:val="136"/>
  </w:num>
  <w:num w:numId="60">
    <w:abstractNumId w:val="128"/>
  </w:num>
  <w:num w:numId="61">
    <w:abstractNumId w:val="98"/>
  </w:num>
  <w:num w:numId="62">
    <w:abstractNumId w:val="116"/>
  </w:num>
  <w:num w:numId="63">
    <w:abstractNumId w:val="47"/>
  </w:num>
  <w:num w:numId="64">
    <w:abstractNumId w:val="115"/>
  </w:num>
  <w:num w:numId="65">
    <w:abstractNumId w:val="161"/>
  </w:num>
  <w:num w:numId="66">
    <w:abstractNumId w:val="162"/>
  </w:num>
  <w:num w:numId="67">
    <w:abstractNumId w:val="95"/>
  </w:num>
  <w:num w:numId="68">
    <w:abstractNumId w:val="103"/>
  </w:num>
  <w:num w:numId="69">
    <w:abstractNumId w:val="8"/>
  </w:num>
  <w:num w:numId="70">
    <w:abstractNumId w:val="110"/>
  </w:num>
  <w:num w:numId="71">
    <w:abstractNumId w:val="17"/>
  </w:num>
  <w:num w:numId="72">
    <w:abstractNumId w:val="27"/>
  </w:num>
  <w:num w:numId="73">
    <w:abstractNumId w:val="46"/>
  </w:num>
  <w:num w:numId="74">
    <w:abstractNumId w:val="33"/>
    <w:lvlOverride w:ilvl="0">
      <w:startOverride w:val="1"/>
    </w:lvlOverride>
  </w:num>
  <w:num w:numId="75">
    <w:abstractNumId w:val="131"/>
  </w:num>
  <w:num w:numId="76">
    <w:abstractNumId w:val="1"/>
  </w:num>
  <w:num w:numId="77">
    <w:abstractNumId w:val="160"/>
  </w:num>
  <w:num w:numId="78">
    <w:abstractNumId w:val="166"/>
  </w:num>
  <w:num w:numId="79">
    <w:abstractNumId w:val="138"/>
  </w:num>
  <w:num w:numId="80">
    <w:abstractNumId w:val="71"/>
  </w:num>
  <w:num w:numId="81">
    <w:abstractNumId w:val="154"/>
  </w:num>
  <w:num w:numId="82">
    <w:abstractNumId w:val="96"/>
  </w:num>
  <w:num w:numId="83">
    <w:abstractNumId w:val="31"/>
  </w:num>
  <w:num w:numId="84">
    <w:abstractNumId w:val="62"/>
  </w:num>
  <w:num w:numId="85">
    <w:abstractNumId w:val="106"/>
  </w:num>
  <w:num w:numId="86">
    <w:abstractNumId w:val="94"/>
  </w:num>
  <w:num w:numId="87">
    <w:abstractNumId w:val="91"/>
  </w:num>
  <w:num w:numId="88">
    <w:abstractNumId w:val="84"/>
  </w:num>
  <w:num w:numId="89">
    <w:abstractNumId w:val="105"/>
  </w:num>
  <w:num w:numId="90">
    <w:abstractNumId w:val="119"/>
  </w:num>
  <w:num w:numId="91">
    <w:abstractNumId w:val="127"/>
  </w:num>
  <w:num w:numId="92">
    <w:abstractNumId w:val="42"/>
  </w:num>
  <w:num w:numId="93">
    <w:abstractNumId w:val="149"/>
  </w:num>
  <w:num w:numId="94">
    <w:abstractNumId w:val="143"/>
  </w:num>
  <w:num w:numId="95">
    <w:abstractNumId w:val="64"/>
  </w:num>
  <w:num w:numId="96">
    <w:abstractNumId w:val="102"/>
  </w:num>
  <w:num w:numId="97">
    <w:abstractNumId w:val="7"/>
  </w:num>
  <w:num w:numId="98">
    <w:abstractNumId w:val="40"/>
  </w:num>
  <w:num w:numId="99">
    <w:abstractNumId w:val="137"/>
  </w:num>
  <w:num w:numId="100">
    <w:abstractNumId w:val="82"/>
  </w:num>
  <w:num w:numId="101">
    <w:abstractNumId w:val="113"/>
  </w:num>
  <w:num w:numId="102">
    <w:abstractNumId w:val="121"/>
  </w:num>
  <w:num w:numId="103">
    <w:abstractNumId w:val="153"/>
  </w:num>
  <w:num w:numId="104">
    <w:abstractNumId w:val="54"/>
  </w:num>
  <w:num w:numId="105">
    <w:abstractNumId w:val="3"/>
  </w:num>
  <w:num w:numId="106">
    <w:abstractNumId w:val="50"/>
  </w:num>
  <w:num w:numId="107">
    <w:abstractNumId w:val="66"/>
  </w:num>
  <w:num w:numId="108">
    <w:abstractNumId w:val="120"/>
  </w:num>
  <w:num w:numId="109">
    <w:abstractNumId w:val="41"/>
  </w:num>
  <w:num w:numId="110">
    <w:abstractNumId w:val="53"/>
  </w:num>
  <w:num w:numId="111">
    <w:abstractNumId w:val="58"/>
  </w:num>
  <w:num w:numId="112">
    <w:abstractNumId w:val="165"/>
  </w:num>
  <w:num w:numId="113">
    <w:abstractNumId w:val="25"/>
  </w:num>
  <w:num w:numId="114">
    <w:abstractNumId w:val="81"/>
  </w:num>
  <w:num w:numId="115">
    <w:abstractNumId w:val="151"/>
  </w:num>
  <w:num w:numId="116">
    <w:abstractNumId w:val="2"/>
  </w:num>
  <w:num w:numId="117">
    <w:abstractNumId w:val="142"/>
  </w:num>
  <w:num w:numId="118">
    <w:abstractNumId w:val="23"/>
  </w:num>
  <w:num w:numId="119">
    <w:abstractNumId w:val="108"/>
  </w:num>
  <w:num w:numId="120">
    <w:abstractNumId w:val="74"/>
  </w:num>
  <w:num w:numId="121">
    <w:abstractNumId w:val="49"/>
  </w:num>
  <w:num w:numId="122">
    <w:abstractNumId w:val="90"/>
  </w:num>
  <w:num w:numId="123">
    <w:abstractNumId w:val="35"/>
  </w:num>
  <w:num w:numId="124">
    <w:abstractNumId w:val="126"/>
  </w:num>
  <w:num w:numId="125">
    <w:abstractNumId w:val="43"/>
  </w:num>
  <w:num w:numId="126">
    <w:abstractNumId w:val="65"/>
  </w:num>
  <w:num w:numId="127">
    <w:abstractNumId w:val="37"/>
  </w:num>
  <w:num w:numId="128">
    <w:abstractNumId w:val="80"/>
  </w:num>
  <w:num w:numId="129">
    <w:abstractNumId w:val="112"/>
  </w:num>
  <w:num w:numId="130">
    <w:abstractNumId w:val="32"/>
  </w:num>
  <w:num w:numId="131">
    <w:abstractNumId w:val="26"/>
  </w:num>
  <w:num w:numId="132">
    <w:abstractNumId w:val="57"/>
  </w:num>
  <w:num w:numId="133">
    <w:abstractNumId w:val="86"/>
  </w:num>
  <w:num w:numId="134">
    <w:abstractNumId w:val="111"/>
  </w:num>
  <w:num w:numId="135">
    <w:abstractNumId w:val="148"/>
  </w:num>
  <w:num w:numId="136">
    <w:abstractNumId w:val="14"/>
  </w:num>
  <w:num w:numId="137">
    <w:abstractNumId w:val="87"/>
  </w:num>
  <w:num w:numId="138">
    <w:abstractNumId w:val="13"/>
  </w:num>
  <w:num w:numId="139">
    <w:abstractNumId w:val="168"/>
  </w:num>
  <w:num w:numId="140">
    <w:abstractNumId w:val="76"/>
  </w:num>
  <w:num w:numId="141">
    <w:abstractNumId w:val="69"/>
  </w:num>
  <w:num w:numId="142">
    <w:abstractNumId w:val="30"/>
  </w:num>
  <w:num w:numId="143">
    <w:abstractNumId w:val="132"/>
  </w:num>
  <w:num w:numId="144">
    <w:abstractNumId w:val="59"/>
  </w:num>
  <w:num w:numId="145">
    <w:abstractNumId w:val="124"/>
  </w:num>
  <w:num w:numId="146">
    <w:abstractNumId w:val="12"/>
  </w:num>
  <w:num w:numId="147">
    <w:abstractNumId w:val="118"/>
  </w:num>
  <w:num w:numId="148">
    <w:abstractNumId w:val="51"/>
  </w:num>
  <w:num w:numId="149">
    <w:abstractNumId w:val="130"/>
  </w:num>
  <w:num w:numId="150">
    <w:abstractNumId w:val="0"/>
  </w:num>
  <w:num w:numId="151">
    <w:abstractNumId w:val="56"/>
  </w:num>
  <w:num w:numId="152">
    <w:abstractNumId w:val="140"/>
  </w:num>
  <w:num w:numId="153">
    <w:abstractNumId w:val="10"/>
  </w:num>
  <w:num w:numId="154">
    <w:abstractNumId w:val="6"/>
  </w:num>
  <w:num w:numId="155">
    <w:abstractNumId w:val="104"/>
  </w:num>
  <w:num w:numId="156">
    <w:abstractNumId w:val="24"/>
  </w:num>
  <w:num w:numId="157">
    <w:abstractNumId w:val="4"/>
  </w:num>
  <w:num w:numId="158">
    <w:abstractNumId w:val="36"/>
  </w:num>
  <w:num w:numId="159">
    <w:abstractNumId w:val="163"/>
  </w:num>
  <w:num w:numId="160">
    <w:abstractNumId w:val="38"/>
  </w:num>
  <w:num w:numId="161">
    <w:abstractNumId w:val="20"/>
  </w:num>
  <w:num w:numId="162">
    <w:abstractNumId w:val="85"/>
  </w:num>
  <w:num w:numId="163">
    <w:abstractNumId w:val="9"/>
  </w:num>
  <w:num w:numId="164">
    <w:abstractNumId w:val="99"/>
  </w:num>
  <w:num w:numId="165">
    <w:abstractNumId w:val="169"/>
  </w:num>
  <w:num w:numId="166">
    <w:abstractNumId w:val="114"/>
  </w:num>
  <w:num w:numId="167">
    <w:abstractNumId w:val="60"/>
  </w:num>
  <w:num w:numId="168">
    <w:abstractNumId w:val="33"/>
    <w:lvlOverride w:ilvl="0">
      <w:startOverride w:val="1"/>
    </w:lvlOverride>
  </w:num>
  <w:num w:numId="169">
    <w:abstractNumId w:val="159"/>
  </w:num>
  <w:num w:numId="170">
    <w:abstractNumId w:val="107"/>
  </w:num>
  <w:num w:numId="171">
    <w:abstractNumId w:val="33"/>
    <w:lvlOverride w:ilvl="0">
      <w:startOverride w:val="1"/>
    </w:lvlOverride>
  </w:num>
  <w:num w:numId="172">
    <w:abstractNumId w:val="55"/>
  </w:num>
  <w:num w:numId="173">
    <w:abstractNumId w:val="123"/>
  </w:num>
  <w:num w:numId="174">
    <w:abstractNumId w:val="45"/>
  </w:num>
  <w:num w:numId="175">
    <w:abstractNumId w:val="79"/>
  </w:num>
  <w:num w:numId="176">
    <w:abstractNumId w:val="77"/>
  </w:num>
  <w:num w:numId="177">
    <w:abstractNumId w:val="63"/>
  </w:num>
  <w:num w:numId="178">
    <w:abstractNumId w:val="78"/>
  </w:num>
  <w:num w:numId="179">
    <w:abstractNumId w:val="61"/>
  </w:num>
  <w:num w:numId="180">
    <w:abstractNumId w:val="109"/>
  </w:num>
  <w:num w:numId="181">
    <w:abstractNumId w:val="109"/>
  </w:num>
  <w:num w:numId="182">
    <w:abstractNumId w:val="21"/>
  </w:num>
  <w:num w:numId="183">
    <w:abstractNumId w:val="33"/>
  </w:num>
  <w:numIdMacAtCleanup w:val="1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removeDateAndTime/>
  <w:embedSystemFonts/>
  <w:hideSpellingError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IE" w:vendorID="64" w:dllVersion="6" w:nlCheck="1" w:checkStyle="1"/>
  <w:activeWritingStyle w:appName="MSWord" w:lang="pt-PT" w:vendorID="64" w:dllVersion="6" w:nlCheck="1" w:checkStyle="0"/>
  <w:activeWritingStyle w:appName="MSWord" w:lang="en-CA" w:vendorID="64" w:dllVersion="6" w:nlCheck="1" w:checkStyle="1"/>
  <w:activeWritingStyle w:appName="MSWord" w:lang="en-AU"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pt-PT"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fr-FR" w:vendorID="64" w:dllVersion="131078" w:nlCheck="1" w:checkStyle="0"/>
  <w:activeWritingStyle w:appName="MSWord" w:lang="en-IE" w:vendorID="64" w:dllVersion="131078" w:nlCheck="1" w:checkStyle="1"/>
  <w:activeWritingStyle w:appName="MSWord" w:lang="en-AU" w:vendorID="64" w:dllVersion="131078" w:nlCheck="1" w:checkStyle="1"/>
  <w:activeWritingStyle w:appName="MSWord" w:lang="pt-PT" w:vendorID="64" w:dllVersion="131078" w:nlCheck="1" w:checkStyle="0"/>
  <w:activeWritingStyle w:appName="MSWord" w:lang="nb-NO" w:vendorID="64" w:dllVersion="131078" w:nlCheck="1" w:checkStyle="0"/>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680"/>
  <w:evenAndOddHeaders/>
  <w:drawingGridHorizontalSpacing w:val="110"/>
  <w:displayHorizontalDrawingGridEvery w:val="2"/>
  <w:displayVerticalDrawingGridEvery w:val="2"/>
  <w:characterSpacingControl w:val="doNotCompress"/>
  <w:hdrShapeDefaults>
    <o:shapedefaults v:ext="edit" spidmax="46081"/>
  </w:hdrShapeDefaults>
  <w:footnotePr>
    <w:footnote w:id="-1"/>
    <w:footnote w:id="0"/>
    <w:footnote w:id="1"/>
  </w:footnotePr>
  <w:endnotePr>
    <w:pos w:val="sectEnd"/>
    <w:numFmt w:val="decimal"/>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9B9"/>
    <w:rsid w:val="00001CDE"/>
    <w:rsid w:val="00005323"/>
    <w:rsid w:val="00005399"/>
    <w:rsid w:val="00005661"/>
    <w:rsid w:val="000064E3"/>
    <w:rsid w:val="000073B8"/>
    <w:rsid w:val="00007954"/>
    <w:rsid w:val="00007B39"/>
    <w:rsid w:val="000116D3"/>
    <w:rsid w:val="000119EB"/>
    <w:rsid w:val="00011D4C"/>
    <w:rsid w:val="0001214C"/>
    <w:rsid w:val="000126B6"/>
    <w:rsid w:val="00013928"/>
    <w:rsid w:val="000144F8"/>
    <w:rsid w:val="0001454A"/>
    <w:rsid w:val="0001496E"/>
    <w:rsid w:val="00014D2D"/>
    <w:rsid w:val="0001537B"/>
    <w:rsid w:val="000154AA"/>
    <w:rsid w:val="00016455"/>
    <w:rsid w:val="0001738F"/>
    <w:rsid w:val="00017E63"/>
    <w:rsid w:val="00020325"/>
    <w:rsid w:val="00021130"/>
    <w:rsid w:val="00022A39"/>
    <w:rsid w:val="00023190"/>
    <w:rsid w:val="00024324"/>
    <w:rsid w:val="000245F9"/>
    <w:rsid w:val="000251B9"/>
    <w:rsid w:val="0002530C"/>
    <w:rsid w:val="00025365"/>
    <w:rsid w:val="000253E5"/>
    <w:rsid w:val="00026CBD"/>
    <w:rsid w:val="00026DD4"/>
    <w:rsid w:val="000274DF"/>
    <w:rsid w:val="00027DF3"/>
    <w:rsid w:val="0003042D"/>
    <w:rsid w:val="000308EA"/>
    <w:rsid w:val="000322CB"/>
    <w:rsid w:val="0003295F"/>
    <w:rsid w:val="000329D9"/>
    <w:rsid w:val="0003302B"/>
    <w:rsid w:val="00033198"/>
    <w:rsid w:val="000343F7"/>
    <w:rsid w:val="00034AF5"/>
    <w:rsid w:val="00034B0E"/>
    <w:rsid w:val="00034F1B"/>
    <w:rsid w:val="00035436"/>
    <w:rsid w:val="000354BD"/>
    <w:rsid w:val="00035756"/>
    <w:rsid w:val="00035DB0"/>
    <w:rsid w:val="00037AD5"/>
    <w:rsid w:val="0004146B"/>
    <w:rsid w:val="00042955"/>
    <w:rsid w:val="0004380D"/>
    <w:rsid w:val="0004384D"/>
    <w:rsid w:val="0004485D"/>
    <w:rsid w:val="00044B85"/>
    <w:rsid w:val="00044CA8"/>
    <w:rsid w:val="00045200"/>
    <w:rsid w:val="0004537E"/>
    <w:rsid w:val="0004777B"/>
    <w:rsid w:val="00047A7D"/>
    <w:rsid w:val="0005019D"/>
    <w:rsid w:val="0005055B"/>
    <w:rsid w:val="00051A06"/>
    <w:rsid w:val="00051CB7"/>
    <w:rsid w:val="00052672"/>
    <w:rsid w:val="00052D4A"/>
    <w:rsid w:val="00052EE1"/>
    <w:rsid w:val="00053A34"/>
    <w:rsid w:val="00053E40"/>
    <w:rsid w:val="00054272"/>
    <w:rsid w:val="00054316"/>
    <w:rsid w:val="000547B6"/>
    <w:rsid w:val="00055465"/>
    <w:rsid w:val="00056473"/>
    <w:rsid w:val="00056743"/>
    <w:rsid w:val="00060EE0"/>
    <w:rsid w:val="00061135"/>
    <w:rsid w:val="000612DF"/>
    <w:rsid w:val="00061499"/>
    <w:rsid w:val="000614E1"/>
    <w:rsid w:val="00061993"/>
    <w:rsid w:val="00061D42"/>
    <w:rsid w:val="00062010"/>
    <w:rsid w:val="00062CDD"/>
    <w:rsid w:val="00062FD4"/>
    <w:rsid w:val="000634A7"/>
    <w:rsid w:val="00063B15"/>
    <w:rsid w:val="00063E7C"/>
    <w:rsid w:val="00063F77"/>
    <w:rsid w:val="00064106"/>
    <w:rsid w:val="0006447F"/>
    <w:rsid w:val="000644BB"/>
    <w:rsid w:val="00064895"/>
    <w:rsid w:val="00065685"/>
    <w:rsid w:val="000670D9"/>
    <w:rsid w:val="00067EA7"/>
    <w:rsid w:val="00070A3E"/>
    <w:rsid w:val="000711ED"/>
    <w:rsid w:val="0007142E"/>
    <w:rsid w:val="000714D0"/>
    <w:rsid w:val="00071585"/>
    <w:rsid w:val="00072690"/>
    <w:rsid w:val="00072D60"/>
    <w:rsid w:val="00072E39"/>
    <w:rsid w:val="0007372D"/>
    <w:rsid w:val="00074B8C"/>
    <w:rsid w:val="00074DA7"/>
    <w:rsid w:val="00074EDB"/>
    <w:rsid w:val="00075555"/>
    <w:rsid w:val="00076521"/>
    <w:rsid w:val="00077652"/>
    <w:rsid w:val="000777C6"/>
    <w:rsid w:val="00077D37"/>
    <w:rsid w:val="00080B34"/>
    <w:rsid w:val="00080CC5"/>
    <w:rsid w:val="000815A8"/>
    <w:rsid w:val="00082123"/>
    <w:rsid w:val="00083165"/>
    <w:rsid w:val="000835D8"/>
    <w:rsid w:val="00083FF3"/>
    <w:rsid w:val="00085187"/>
    <w:rsid w:val="0008529F"/>
    <w:rsid w:val="0008538B"/>
    <w:rsid w:val="00085D56"/>
    <w:rsid w:val="000867CE"/>
    <w:rsid w:val="00086A70"/>
    <w:rsid w:val="00087BA0"/>
    <w:rsid w:val="00090322"/>
    <w:rsid w:val="00090706"/>
    <w:rsid w:val="0009165C"/>
    <w:rsid w:val="00093357"/>
    <w:rsid w:val="000934AE"/>
    <w:rsid w:val="00093AF1"/>
    <w:rsid w:val="00094F38"/>
    <w:rsid w:val="000951C0"/>
    <w:rsid w:val="00095A50"/>
    <w:rsid w:val="00097D04"/>
    <w:rsid w:val="000A058F"/>
    <w:rsid w:val="000A0FA8"/>
    <w:rsid w:val="000A2054"/>
    <w:rsid w:val="000A2820"/>
    <w:rsid w:val="000A4D50"/>
    <w:rsid w:val="000A61A2"/>
    <w:rsid w:val="000A6BEC"/>
    <w:rsid w:val="000B2824"/>
    <w:rsid w:val="000B33EF"/>
    <w:rsid w:val="000B3A97"/>
    <w:rsid w:val="000B4A0D"/>
    <w:rsid w:val="000B4C31"/>
    <w:rsid w:val="000B5373"/>
    <w:rsid w:val="000B5552"/>
    <w:rsid w:val="000B5CAA"/>
    <w:rsid w:val="000B61CA"/>
    <w:rsid w:val="000B62DD"/>
    <w:rsid w:val="000B7010"/>
    <w:rsid w:val="000B731A"/>
    <w:rsid w:val="000B73F9"/>
    <w:rsid w:val="000B7539"/>
    <w:rsid w:val="000C0623"/>
    <w:rsid w:val="000C0769"/>
    <w:rsid w:val="000C07AA"/>
    <w:rsid w:val="000C0B2E"/>
    <w:rsid w:val="000C1FE9"/>
    <w:rsid w:val="000C3B7A"/>
    <w:rsid w:val="000C57D1"/>
    <w:rsid w:val="000C5C84"/>
    <w:rsid w:val="000C5F0E"/>
    <w:rsid w:val="000C7357"/>
    <w:rsid w:val="000C739B"/>
    <w:rsid w:val="000C76EF"/>
    <w:rsid w:val="000C7F3C"/>
    <w:rsid w:val="000D0C94"/>
    <w:rsid w:val="000D1FCF"/>
    <w:rsid w:val="000D27FA"/>
    <w:rsid w:val="000D2B2A"/>
    <w:rsid w:val="000D2E0D"/>
    <w:rsid w:val="000D38CF"/>
    <w:rsid w:val="000D3B1E"/>
    <w:rsid w:val="000D49BE"/>
    <w:rsid w:val="000D4A13"/>
    <w:rsid w:val="000D4A63"/>
    <w:rsid w:val="000D4E56"/>
    <w:rsid w:val="000D4F79"/>
    <w:rsid w:val="000D50A6"/>
    <w:rsid w:val="000D57A5"/>
    <w:rsid w:val="000D678B"/>
    <w:rsid w:val="000D7A61"/>
    <w:rsid w:val="000E09D7"/>
    <w:rsid w:val="000E0DC7"/>
    <w:rsid w:val="000E1A13"/>
    <w:rsid w:val="000E1E8E"/>
    <w:rsid w:val="000E261E"/>
    <w:rsid w:val="000E4407"/>
    <w:rsid w:val="000E52DB"/>
    <w:rsid w:val="000E59F7"/>
    <w:rsid w:val="000E621E"/>
    <w:rsid w:val="000E6657"/>
    <w:rsid w:val="000E6861"/>
    <w:rsid w:val="000E758D"/>
    <w:rsid w:val="000F0F98"/>
    <w:rsid w:val="000F1072"/>
    <w:rsid w:val="000F2AA9"/>
    <w:rsid w:val="000F3434"/>
    <w:rsid w:val="000F3CCE"/>
    <w:rsid w:val="000F47C6"/>
    <w:rsid w:val="000F5557"/>
    <w:rsid w:val="000F55F2"/>
    <w:rsid w:val="000F5C84"/>
    <w:rsid w:val="000F5FA2"/>
    <w:rsid w:val="000F69DD"/>
    <w:rsid w:val="000F755F"/>
    <w:rsid w:val="000F7CCA"/>
    <w:rsid w:val="0010021A"/>
    <w:rsid w:val="0010063E"/>
    <w:rsid w:val="00101AAB"/>
    <w:rsid w:val="0010304E"/>
    <w:rsid w:val="0010476B"/>
    <w:rsid w:val="00104BAB"/>
    <w:rsid w:val="00104E31"/>
    <w:rsid w:val="0010590C"/>
    <w:rsid w:val="00106E60"/>
    <w:rsid w:val="0010727A"/>
    <w:rsid w:val="0010745D"/>
    <w:rsid w:val="00107536"/>
    <w:rsid w:val="00107E62"/>
    <w:rsid w:val="00110792"/>
    <w:rsid w:val="0011087A"/>
    <w:rsid w:val="00110F04"/>
    <w:rsid w:val="00110F23"/>
    <w:rsid w:val="00111F59"/>
    <w:rsid w:val="00112A7D"/>
    <w:rsid w:val="001130DE"/>
    <w:rsid w:val="00113B63"/>
    <w:rsid w:val="00114CF4"/>
    <w:rsid w:val="001166BA"/>
    <w:rsid w:val="001167B0"/>
    <w:rsid w:val="00116877"/>
    <w:rsid w:val="00117777"/>
    <w:rsid w:val="00117C40"/>
    <w:rsid w:val="0012061E"/>
    <w:rsid w:val="00120FD1"/>
    <w:rsid w:val="001210A6"/>
    <w:rsid w:val="00121117"/>
    <w:rsid w:val="001219E9"/>
    <w:rsid w:val="00121C55"/>
    <w:rsid w:val="0012442D"/>
    <w:rsid w:val="00124706"/>
    <w:rsid w:val="00124E26"/>
    <w:rsid w:val="00124EA7"/>
    <w:rsid w:val="00125CE4"/>
    <w:rsid w:val="001260C0"/>
    <w:rsid w:val="00126AF9"/>
    <w:rsid w:val="001313B2"/>
    <w:rsid w:val="001343BD"/>
    <w:rsid w:val="00135051"/>
    <w:rsid w:val="001355D4"/>
    <w:rsid w:val="00135F9A"/>
    <w:rsid w:val="00136DF3"/>
    <w:rsid w:val="0013767F"/>
    <w:rsid w:val="00137F23"/>
    <w:rsid w:val="00140CD6"/>
    <w:rsid w:val="00141457"/>
    <w:rsid w:val="001421A0"/>
    <w:rsid w:val="001421D9"/>
    <w:rsid w:val="00142755"/>
    <w:rsid w:val="0014286F"/>
    <w:rsid w:val="00142BFE"/>
    <w:rsid w:val="00142EBB"/>
    <w:rsid w:val="00143A09"/>
    <w:rsid w:val="00144536"/>
    <w:rsid w:val="001446C3"/>
    <w:rsid w:val="00144AAA"/>
    <w:rsid w:val="0014599E"/>
    <w:rsid w:val="001459CA"/>
    <w:rsid w:val="00146099"/>
    <w:rsid w:val="0014764C"/>
    <w:rsid w:val="00147EB0"/>
    <w:rsid w:val="00147EE5"/>
    <w:rsid w:val="001508FD"/>
    <w:rsid w:val="00150AF8"/>
    <w:rsid w:val="001513BF"/>
    <w:rsid w:val="001516F3"/>
    <w:rsid w:val="00151A3E"/>
    <w:rsid w:val="00152E1A"/>
    <w:rsid w:val="00153264"/>
    <w:rsid w:val="001535C6"/>
    <w:rsid w:val="0015541F"/>
    <w:rsid w:val="00155E65"/>
    <w:rsid w:val="00156382"/>
    <w:rsid w:val="00156910"/>
    <w:rsid w:val="00156A50"/>
    <w:rsid w:val="00156F25"/>
    <w:rsid w:val="001572B7"/>
    <w:rsid w:val="001576DC"/>
    <w:rsid w:val="00157FE1"/>
    <w:rsid w:val="0016013A"/>
    <w:rsid w:val="001607F9"/>
    <w:rsid w:val="00160A12"/>
    <w:rsid w:val="00160C10"/>
    <w:rsid w:val="00160F6B"/>
    <w:rsid w:val="00161274"/>
    <w:rsid w:val="00161385"/>
    <w:rsid w:val="00161665"/>
    <w:rsid w:val="00161934"/>
    <w:rsid w:val="00161A3E"/>
    <w:rsid w:val="00162358"/>
    <w:rsid w:val="00162866"/>
    <w:rsid w:val="001637CE"/>
    <w:rsid w:val="00163CFC"/>
    <w:rsid w:val="00163E5E"/>
    <w:rsid w:val="0016439D"/>
    <w:rsid w:val="001647B8"/>
    <w:rsid w:val="00166D01"/>
    <w:rsid w:val="001674B4"/>
    <w:rsid w:val="00167C2B"/>
    <w:rsid w:val="001725AF"/>
    <w:rsid w:val="00172E7B"/>
    <w:rsid w:val="001731D4"/>
    <w:rsid w:val="00173D34"/>
    <w:rsid w:val="00174A61"/>
    <w:rsid w:val="00174E81"/>
    <w:rsid w:val="00175DE2"/>
    <w:rsid w:val="00176014"/>
    <w:rsid w:val="0017639D"/>
    <w:rsid w:val="00176AF1"/>
    <w:rsid w:val="00176E48"/>
    <w:rsid w:val="00176FB3"/>
    <w:rsid w:val="00177EC1"/>
    <w:rsid w:val="00177EDA"/>
    <w:rsid w:val="00180300"/>
    <w:rsid w:val="00180584"/>
    <w:rsid w:val="00180CA2"/>
    <w:rsid w:val="00181E63"/>
    <w:rsid w:val="00182182"/>
    <w:rsid w:val="00182B78"/>
    <w:rsid w:val="00182F04"/>
    <w:rsid w:val="0018335B"/>
    <w:rsid w:val="00184759"/>
    <w:rsid w:val="00184A8D"/>
    <w:rsid w:val="00185A2B"/>
    <w:rsid w:val="00185ADA"/>
    <w:rsid w:val="00186A2F"/>
    <w:rsid w:val="0018799A"/>
    <w:rsid w:val="00187A3C"/>
    <w:rsid w:val="0019149E"/>
    <w:rsid w:val="00191D92"/>
    <w:rsid w:val="0019278C"/>
    <w:rsid w:val="00192AE2"/>
    <w:rsid w:val="00192C91"/>
    <w:rsid w:val="00192D69"/>
    <w:rsid w:val="00193C3C"/>
    <w:rsid w:val="00193F33"/>
    <w:rsid w:val="001946EF"/>
    <w:rsid w:val="001949F9"/>
    <w:rsid w:val="00195ABC"/>
    <w:rsid w:val="00195BE4"/>
    <w:rsid w:val="0019614D"/>
    <w:rsid w:val="001969A3"/>
    <w:rsid w:val="00196D19"/>
    <w:rsid w:val="00196D6D"/>
    <w:rsid w:val="00197A12"/>
    <w:rsid w:val="00197C11"/>
    <w:rsid w:val="001A0500"/>
    <w:rsid w:val="001A0CE7"/>
    <w:rsid w:val="001A139E"/>
    <w:rsid w:val="001A1494"/>
    <w:rsid w:val="001A17A7"/>
    <w:rsid w:val="001A2346"/>
    <w:rsid w:val="001A26C1"/>
    <w:rsid w:val="001A2A4B"/>
    <w:rsid w:val="001A35A3"/>
    <w:rsid w:val="001A3FC8"/>
    <w:rsid w:val="001A4006"/>
    <w:rsid w:val="001A46D7"/>
    <w:rsid w:val="001A4843"/>
    <w:rsid w:val="001A5515"/>
    <w:rsid w:val="001A6038"/>
    <w:rsid w:val="001A6AC1"/>
    <w:rsid w:val="001A75DB"/>
    <w:rsid w:val="001B0BC0"/>
    <w:rsid w:val="001B1050"/>
    <w:rsid w:val="001B10D0"/>
    <w:rsid w:val="001B1627"/>
    <w:rsid w:val="001B1959"/>
    <w:rsid w:val="001B1979"/>
    <w:rsid w:val="001B21F6"/>
    <w:rsid w:val="001B24AA"/>
    <w:rsid w:val="001B2BFA"/>
    <w:rsid w:val="001B31B9"/>
    <w:rsid w:val="001B34F1"/>
    <w:rsid w:val="001B451F"/>
    <w:rsid w:val="001B62E6"/>
    <w:rsid w:val="001B792D"/>
    <w:rsid w:val="001C01F9"/>
    <w:rsid w:val="001C02DF"/>
    <w:rsid w:val="001C10E1"/>
    <w:rsid w:val="001C3457"/>
    <w:rsid w:val="001C4456"/>
    <w:rsid w:val="001C4649"/>
    <w:rsid w:val="001C47BF"/>
    <w:rsid w:val="001C4B18"/>
    <w:rsid w:val="001C4B44"/>
    <w:rsid w:val="001C680F"/>
    <w:rsid w:val="001C6CA8"/>
    <w:rsid w:val="001D0B22"/>
    <w:rsid w:val="001D1D0E"/>
    <w:rsid w:val="001D28BB"/>
    <w:rsid w:val="001D2D17"/>
    <w:rsid w:val="001D2D2C"/>
    <w:rsid w:val="001D46CD"/>
    <w:rsid w:val="001D49CF"/>
    <w:rsid w:val="001D4D40"/>
    <w:rsid w:val="001D5004"/>
    <w:rsid w:val="001D51CB"/>
    <w:rsid w:val="001D63CC"/>
    <w:rsid w:val="001D6E71"/>
    <w:rsid w:val="001D7317"/>
    <w:rsid w:val="001D7FB1"/>
    <w:rsid w:val="001E0CD7"/>
    <w:rsid w:val="001E1044"/>
    <w:rsid w:val="001E1211"/>
    <w:rsid w:val="001E1938"/>
    <w:rsid w:val="001E1C56"/>
    <w:rsid w:val="001E2433"/>
    <w:rsid w:val="001E42D5"/>
    <w:rsid w:val="001E4947"/>
    <w:rsid w:val="001E4E53"/>
    <w:rsid w:val="001E5CE2"/>
    <w:rsid w:val="001E654F"/>
    <w:rsid w:val="001E6658"/>
    <w:rsid w:val="001E697B"/>
    <w:rsid w:val="001E6E49"/>
    <w:rsid w:val="001E6E67"/>
    <w:rsid w:val="001F070D"/>
    <w:rsid w:val="001F0739"/>
    <w:rsid w:val="001F31B6"/>
    <w:rsid w:val="001F3584"/>
    <w:rsid w:val="001F41F6"/>
    <w:rsid w:val="001F420B"/>
    <w:rsid w:val="001F49D4"/>
    <w:rsid w:val="001F4E7D"/>
    <w:rsid w:val="001F6352"/>
    <w:rsid w:val="001F7528"/>
    <w:rsid w:val="001F7960"/>
    <w:rsid w:val="0020020A"/>
    <w:rsid w:val="002014F8"/>
    <w:rsid w:val="002016DC"/>
    <w:rsid w:val="00203181"/>
    <w:rsid w:val="00204916"/>
    <w:rsid w:val="00204B39"/>
    <w:rsid w:val="00204CB6"/>
    <w:rsid w:val="00206303"/>
    <w:rsid w:val="00210426"/>
    <w:rsid w:val="00210734"/>
    <w:rsid w:val="00211F98"/>
    <w:rsid w:val="00212347"/>
    <w:rsid w:val="00212D81"/>
    <w:rsid w:val="002142E7"/>
    <w:rsid w:val="00216705"/>
    <w:rsid w:val="0021670B"/>
    <w:rsid w:val="0021741F"/>
    <w:rsid w:val="00217B7B"/>
    <w:rsid w:val="00220C2A"/>
    <w:rsid w:val="00222F94"/>
    <w:rsid w:val="00223D7E"/>
    <w:rsid w:val="00224F2D"/>
    <w:rsid w:val="002268CF"/>
    <w:rsid w:val="002270B7"/>
    <w:rsid w:val="00227B7C"/>
    <w:rsid w:val="00230D8E"/>
    <w:rsid w:val="00231D53"/>
    <w:rsid w:val="0023385A"/>
    <w:rsid w:val="00233AFD"/>
    <w:rsid w:val="00233FA1"/>
    <w:rsid w:val="00234144"/>
    <w:rsid w:val="00234746"/>
    <w:rsid w:val="002353FA"/>
    <w:rsid w:val="0023588D"/>
    <w:rsid w:val="002359CF"/>
    <w:rsid w:val="0023686F"/>
    <w:rsid w:val="00236AA5"/>
    <w:rsid w:val="00237A38"/>
    <w:rsid w:val="00237E4C"/>
    <w:rsid w:val="00240569"/>
    <w:rsid w:val="0024086A"/>
    <w:rsid w:val="002408B4"/>
    <w:rsid w:val="00240D9F"/>
    <w:rsid w:val="00241297"/>
    <w:rsid w:val="00241336"/>
    <w:rsid w:val="00241538"/>
    <w:rsid w:val="00242F6F"/>
    <w:rsid w:val="002441FB"/>
    <w:rsid w:val="00244AF4"/>
    <w:rsid w:val="00244D4C"/>
    <w:rsid w:val="00244E26"/>
    <w:rsid w:val="00245B62"/>
    <w:rsid w:val="00245EDF"/>
    <w:rsid w:val="00246150"/>
    <w:rsid w:val="00247DEA"/>
    <w:rsid w:val="00247EC9"/>
    <w:rsid w:val="002512D9"/>
    <w:rsid w:val="00251677"/>
    <w:rsid w:val="00251E60"/>
    <w:rsid w:val="0025216E"/>
    <w:rsid w:val="002526CE"/>
    <w:rsid w:val="002526DF"/>
    <w:rsid w:val="002530F5"/>
    <w:rsid w:val="00253345"/>
    <w:rsid w:val="00253347"/>
    <w:rsid w:val="00253602"/>
    <w:rsid w:val="002537F2"/>
    <w:rsid w:val="002538AF"/>
    <w:rsid w:val="00253992"/>
    <w:rsid w:val="00253BB9"/>
    <w:rsid w:val="00253CA2"/>
    <w:rsid w:val="002542F7"/>
    <w:rsid w:val="0025472D"/>
    <w:rsid w:val="00256A0E"/>
    <w:rsid w:val="002570D8"/>
    <w:rsid w:val="00257EDF"/>
    <w:rsid w:val="0026028A"/>
    <w:rsid w:val="0026034D"/>
    <w:rsid w:val="00261519"/>
    <w:rsid w:val="00261C69"/>
    <w:rsid w:val="00262675"/>
    <w:rsid w:val="00262EE0"/>
    <w:rsid w:val="002638DA"/>
    <w:rsid w:val="00263BDB"/>
    <w:rsid w:val="00264866"/>
    <w:rsid w:val="00265A7F"/>
    <w:rsid w:val="00265B23"/>
    <w:rsid w:val="00265DEF"/>
    <w:rsid w:val="00266C95"/>
    <w:rsid w:val="00266F6C"/>
    <w:rsid w:val="00271A96"/>
    <w:rsid w:val="002724EF"/>
    <w:rsid w:val="002725CE"/>
    <w:rsid w:val="00274216"/>
    <w:rsid w:val="002749C7"/>
    <w:rsid w:val="002752E0"/>
    <w:rsid w:val="002754BB"/>
    <w:rsid w:val="0027583A"/>
    <w:rsid w:val="002768AE"/>
    <w:rsid w:val="00276B59"/>
    <w:rsid w:val="00276D46"/>
    <w:rsid w:val="00276DDE"/>
    <w:rsid w:val="002771B9"/>
    <w:rsid w:val="00281661"/>
    <w:rsid w:val="00281791"/>
    <w:rsid w:val="00282E85"/>
    <w:rsid w:val="002837E5"/>
    <w:rsid w:val="0028408B"/>
    <w:rsid w:val="00284A35"/>
    <w:rsid w:val="002852AF"/>
    <w:rsid w:val="00285635"/>
    <w:rsid w:val="002856F7"/>
    <w:rsid w:val="00286711"/>
    <w:rsid w:val="0028712A"/>
    <w:rsid w:val="00290FC1"/>
    <w:rsid w:val="002910CA"/>
    <w:rsid w:val="0029179E"/>
    <w:rsid w:val="00291C89"/>
    <w:rsid w:val="002924D9"/>
    <w:rsid w:val="002926D9"/>
    <w:rsid w:val="00293B7F"/>
    <w:rsid w:val="00293CCC"/>
    <w:rsid w:val="002940D4"/>
    <w:rsid w:val="002942E0"/>
    <w:rsid w:val="002958AB"/>
    <w:rsid w:val="0029632E"/>
    <w:rsid w:val="0029646F"/>
    <w:rsid w:val="002965A6"/>
    <w:rsid w:val="002968A9"/>
    <w:rsid w:val="00296C27"/>
    <w:rsid w:val="00297857"/>
    <w:rsid w:val="002A1563"/>
    <w:rsid w:val="002A170A"/>
    <w:rsid w:val="002A194C"/>
    <w:rsid w:val="002A19D1"/>
    <w:rsid w:val="002A1A91"/>
    <w:rsid w:val="002A1E32"/>
    <w:rsid w:val="002A2976"/>
    <w:rsid w:val="002A5185"/>
    <w:rsid w:val="002A63AC"/>
    <w:rsid w:val="002A6618"/>
    <w:rsid w:val="002A6730"/>
    <w:rsid w:val="002A6985"/>
    <w:rsid w:val="002B0825"/>
    <w:rsid w:val="002B10A9"/>
    <w:rsid w:val="002B1AD1"/>
    <w:rsid w:val="002B1D8E"/>
    <w:rsid w:val="002B1E15"/>
    <w:rsid w:val="002B1EC5"/>
    <w:rsid w:val="002B3AB9"/>
    <w:rsid w:val="002B4300"/>
    <w:rsid w:val="002B4931"/>
    <w:rsid w:val="002B5F5F"/>
    <w:rsid w:val="002B71A8"/>
    <w:rsid w:val="002B785F"/>
    <w:rsid w:val="002C04B1"/>
    <w:rsid w:val="002C05C6"/>
    <w:rsid w:val="002C0C21"/>
    <w:rsid w:val="002C1490"/>
    <w:rsid w:val="002C1BE5"/>
    <w:rsid w:val="002C1DFE"/>
    <w:rsid w:val="002C2C6E"/>
    <w:rsid w:val="002C3901"/>
    <w:rsid w:val="002C40C3"/>
    <w:rsid w:val="002C4BC8"/>
    <w:rsid w:val="002C558B"/>
    <w:rsid w:val="002C57DD"/>
    <w:rsid w:val="002C59DE"/>
    <w:rsid w:val="002C5D66"/>
    <w:rsid w:val="002C6328"/>
    <w:rsid w:val="002C6F24"/>
    <w:rsid w:val="002C7410"/>
    <w:rsid w:val="002C763E"/>
    <w:rsid w:val="002D00AE"/>
    <w:rsid w:val="002D0A92"/>
    <w:rsid w:val="002D1373"/>
    <w:rsid w:val="002D1C23"/>
    <w:rsid w:val="002D22AF"/>
    <w:rsid w:val="002D2446"/>
    <w:rsid w:val="002D294D"/>
    <w:rsid w:val="002D299F"/>
    <w:rsid w:val="002D2E43"/>
    <w:rsid w:val="002D2EDE"/>
    <w:rsid w:val="002D3335"/>
    <w:rsid w:val="002D33DD"/>
    <w:rsid w:val="002D3F71"/>
    <w:rsid w:val="002D45DD"/>
    <w:rsid w:val="002D4C9E"/>
    <w:rsid w:val="002D5476"/>
    <w:rsid w:val="002D57CD"/>
    <w:rsid w:val="002D6773"/>
    <w:rsid w:val="002D70DB"/>
    <w:rsid w:val="002E0203"/>
    <w:rsid w:val="002E0275"/>
    <w:rsid w:val="002E080F"/>
    <w:rsid w:val="002E1027"/>
    <w:rsid w:val="002E1821"/>
    <w:rsid w:val="002E196C"/>
    <w:rsid w:val="002E1D3B"/>
    <w:rsid w:val="002E227C"/>
    <w:rsid w:val="002E251E"/>
    <w:rsid w:val="002E286A"/>
    <w:rsid w:val="002E29E1"/>
    <w:rsid w:val="002E2A00"/>
    <w:rsid w:val="002E2F2C"/>
    <w:rsid w:val="002E2FB4"/>
    <w:rsid w:val="002E3058"/>
    <w:rsid w:val="002E312C"/>
    <w:rsid w:val="002E363F"/>
    <w:rsid w:val="002E469A"/>
    <w:rsid w:val="002E4911"/>
    <w:rsid w:val="002E6072"/>
    <w:rsid w:val="002E68E5"/>
    <w:rsid w:val="002E6A76"/>
    <w:rsid w:val="002E7431"/>
    <w:rsid w:val="002E7FC9"/>
    <w:rsid w:val="002F0166"/>
    <w:rsid w:val="002F01F7"/>
    <w:rsid w:val="002F2049"/>
    <w:rsid w:val="002F254E"/>
    <w:rsid w:val="002F2985"/>
    <w:rsid w:val="002F30B5"/>
    <w:rsid w:val="002F31BD"/>
    <w:rsid w:val="002F38B1"/>
    <w:rsid w:val="002F3F4B"/>
    <w:rsid w:val="002F42B0"/>
    <w:rsid w:val="002F50D3"/>
    <w:rsid w:val="002F6787"/>
    <w:rsid w:val="002F6801"/>
    <w:rsid w:val="002F6CCD"/>
    <w:rsid w:val="002F6E1C"/>
    <w:rsid w:val="002F7F49"/>
    <w:rsid w:val="00300AAB"/>
    <w:rsid w:val="0030108F"/>
    <w:rsid w:val="00301B08"/>
    <w:rsid w:val="00301B53"/>
    <w:rsid w:val="00301D62"/>
    <w:rsid w:val="00303443"/>
    <w:rsid w:val="00303AD8"/>
    <w:rsid w:val="00303C3C"/>
    <w:rsid w:val="00303CFD"/>
    <w:rsid w:val="00304D07"/>
    <w:rsid w:val="00304F48"/>
    <w:rsid w:val="003065EF"/>
    <w:rsid w:val="003076F3"/>
    <w:rsid w:val="00307BE4"/>
    <w:rsid w:val="00310918"/>
    <w:rsid w:val="00312A83"/>
    <w:rsid w:val="00313969"/>
    <w:rsid w:val="00314289"/>
    <w:rsid w:val="003143DD"/>
    <w:rsid w:val="00316815"/>
    <w:rsid w:val="0031690F"/>
    <w:rsid w:val="00317078"/>
    <w:rsid w:val="00317902"/>
    <w:rsid w:val="00317AF7"/>
    <w:rsid w:val="00317BC6"/>
    <w:rsid w:val="003219B9"/>
    <w:rsid w:val="00321AD3"/>
    <w:rsid w:val="00321F0E"/>
    <w:rsid w:val="003222B4"/>
    <w:rsid w:val="0032304D"/>
    <w:rsid w:val="003251E3"/>
    <w:rsid w:val="00325216"/>
    <w:rsid w:val="00325310"/>
    <w:rsid w:val="00325EFC"/>
    <w:rsid w:val="003263BB"/>
    <w:rsid w:val="00326F0A"/>
    <w:rsid w:val="00327A49"/>
    <w:rsid w:val="00330D02"/>
    <w:rsid w:val="00330E1F"/>
    <w:rsid w:val="00330EF7"/>
    <w:rsid w:val="003315E4"/>
    <w:rsid w:val="003325F6"/>
    <w:rsid w:val="00333176"/>
    <w:rsid w:val="0033382E"/>
    <w:rsid w:val="00334747"/>
    <w:rsid w:val="003358B9"/>
    <w:rsid w:val="003358C7"/>
    <w:rsid w:val="00335ABE"/>
    <w:rsid w:val="00335AC1"/>
    <w:rsid w:val="00336332"/>
    <w:rsid w:val="00336890"/>
    <w:rsid w:val="0034018C"/>
    <w:rsid w:val="0034068B"/>
    <w:rsid w:val="00340C14"/>
    <w:rsid w:val="00341F45"/>
    <w:rsid w:val="003430AB"/>
    <w:rsid w:val="00343BA7"/>
    <w:rsid w:val="00343BD7"/>
    <w:rsid w:val="00343EAE"/>
    <w:rsid w:val="003443CC"/>
    <w:rsid w:val="00345E20"/>
    <w:rsid w:val="00346207"/>
    <w:rsid w:val="00346353"/>
    <w:rsid w:val="003463F6"/>
    <w:rsid w:val="00346572"/>
    <w:rsid w:val="00347424"/>
    <w:rsid w:val="00347F8E"/>
    <w:rsid w:val="00350491"/>
    <w:rsid w:val="00350B5C"/>
    <w:rsid w:val="00350E12"/>
    <w:rsid w:val="00352024"/>
    <w:rsid w:val="0035204A"/>
    <w:rsid w:val="00352081"/>
    <w:rsid w:val="0035286E"/>
    <w:rsid w:val="00352C25"/>
    <w:rsid w:val="00352FEE"/>
    <w:rsid w:val="00353256"/>
    <w:rsid w:val="00353D51"/>
    <w:rsid w:val="00354031"/>
    <w:rsid w:val="0035439F"/>
    <w:rsid w:val="0035691B"/>
    <w:rsid w:val="00356B49"/>
    <w:rsid w:val="003575B8"/>
    <w:rsid w:val="003576EC"/>
    <w:rsid w:val="0036043F"/>
    <w:rsid w:val="00360556"/>
    <w:rsid w:val="00360B77"/>
    <w:rsid w:val="00360C16"/>
    <w:rsid w:val="003621A9"/>
    <w:rsid w:val="0036238E"/>
    <w:rsid w:val="003633D5"/>
    <w:rsid w:val="00363D15"/>
    <w:rsid w:val="00364774"/>
    <w:rsid w:val="00364946"/>
    <w:rsid w:val="003649F4"/>
    <w:rsid w:val="00365034"/>
    <w:rsid w:val="003662E5"/>
    <w:rsid w:val="00366D26"/>
    <w:rsid w:val="003670BC"/>
    <w:rsid w:val="003701D1"/>
    <w:rsid w:val="00370A9E"/>
    <w:rsid w:val="00370D13"/>
    <w:rsid w:val="003716D5"/>
    <w:rsid w:val="00371785"/>
    <w:rsid w:val="00373268"/>
    <w:rsid w:val="003732FD"/>
    <w:rsid w:val="0037401B"/>
    <w:rsid w:val="00375DC8"/>
    <w:rsid w:val="003776B6"/>
    <w:rsid w:val="00380940"/>
    <w:rsid w:val="00380AEE"/>
    <w:rsid w:val="003820F2"/>
    <w:rsid w:val="00382616"/>
    <w:rsid w:val="003849AD"/>
    <w:rsid w:val="003852CA"/>
    <w:rsid w:val="00385B77"/>
    <w:rsid w:val="00385D3F"/>
    <w:rsid w:val="00386DD3"/>
    <w:rsid w:val="003871D9"/>
    <w:rsid w:val="00390900"/>
    <w:rsid w:val="00391F9D"/>
    <w:rsid w:val="003921B8"/>
    <w:rsid w:val="00393F57"/>
    <w:rsid w:val="00396277"/>
    <w:rsid w:val="00397413"/>
    <w:rsid w:val="003974D4"/>
    <w:rsid w:val="00397501"/>
    <w:rsid w:val="0039797A"/>
    <w:rsid w:val="00397C22"/>
    <w:rsid w:val="00397D7B"/>
    <w:rsid w:val="003A028D"/>
    <w:rsid w:val="003A09AB"/>
    <w:rsid w:val="003A1941"/>
    <w:rsid w:val="003A1BC4"/>
    <w:rsid w:val="003A1CBD"/>
    <w:rsid w:val="003A2D82"/>
    <w:rsid w:val="003A32A9"/>
    <w:rsid w:val="003A352E"/>
    <w:rsid w:val="003A3B06"/>
    <w:rsid w:val="003A3E50"/>
    <w:rsid w:val="003A3E87"/>
    <w:rsid w:val="003A554B"/>
    <w:rsid w:val="003A6C74"/>
    <w:rsid w:val="003A7138"/>
    <w:rsid w:val="003A7578"/>
    <w:rsid w:val="003A7D98"/>
    <w:rsid w:val="003B06BD"/>
    <w:rsid w:val="003B088D"/>
    <w:rsid w:val="003B0E2B"/>
    <w:rsid w:val="003B0F4B"/>
    <w:rsid w:val="003B11CE"/>
    <w:rsid w:val="003B18FD"/>
    <w:rsid w:val="003B1AAB"/>
    <w:rsid w:val="003B2286"/>
    <w:rsid w:val="003B50ED"/>
    <w:rsid w:val="003B5459"/>
    <w:rsid w:val="003B5897"/>
    <w:rsid w:val="003B6B22"/>
    <w:rsid w:val="003B79EE"/>
    <w:rsid w:val="003C018B"/>
    <w:rsid w:val="003C0DA7"/>
    <w:rsid w:val="003C13BB"/>
    <w:rsid w:val="003C1B88"/>
    <w:rsid w:val="003C2926"/>
    <w:rsid w:val="003C31B6"/>
    <w:rsid w:val="003C354F"/>
    <w:rsid w:val="003C3DAB"/>
    <w:rsid w:val="003C4BEC"/>
    <w:rsid w:val="003C57B2"/>
    <w:rsid w:val="003C5AF2"/>
    <w:rsid w:val="003C662C"/>
    <w:rsid w:val="003C6757"/>
    <w:rsid w:val="003D1DC9"/>
    <w:rsid w:val="003D411E"/>
    <w:rsid w:val="003D4544"/>
    <w:rsid w:val="003D56F2"/>
    <w:rsid w:val="003D5F2B"/>
    <w:rsid w:val="003D601A"/>
    <w:rsid w:val="003D61E7"/>
    <w:rsid w:val="003D6321"/>
    <w:rsid w:val="003D6704"/>
    <w:rsid w:val="003D6A44"/>
    <w:rsid w:val="003D7C16"/>
    <w:rsid w:val="003D7E66"/>
    <w:rsid w:val="003D7F30"/>
    <w:rsid w:val="003E2F1F"/>
    <w:rsid w:val="003E32B2"/>
    <w:rsid w:val="003E3316"/>
    <w:rsid w:val="003E36B9"/>
    <w:rsid w:val="003E381D"/>
    <w:rsid w:val="003E5468"/>
    <w:rsid w:val="003E5DD5"/>
    <w:rsid w:val="003E64F5"/>
    <w:rsid w:val="003E65FF"/>
    <w:rsid w:val="003E726F"/>
    <w:rsid w:val="003E763B"/>
    <w:rsid w:val="003E7DB3"/>
    <w:rsid w:val="003F04ED"/>
    <w:rsid w:val="003F05AC"/>
    <w:rsid w:val="003F0BE2"/>
    <w:rsid w:val="003F0EE2"/>
    <w:rsid w:val="003F10D6"/>
    <w:rsid w:val="003F13F4"/>
    <w:rsid w:val="003F3328"/>
    <w:rsid w:val="003F3BE5"/>
    <w:rsid w:val="003F537C"/>
    <w:rsid w:val="003F5D07"/>
    <w:rsid w:val="003F6FE4"/>
    <w:rsid w:val="00400392"/>
    <w:rsid w:val="00400B4E"/>
    <w:rsid w:val="00400BE8"/>
    <w:rsid w:val="00400BF1"/>
    <w:rsid w:val="00400CDD"/>
    <w:rsid w:val="00400F01"/>
    <w:rsid w:val="00401762"/>
    <w:rsid w:val="00401EB2"/>
    <w:rsid w:val="00401FF7"/>
    <w:rsid w:val="00402208"/>
    <w:rsid w:val="004026F8"/>
    <w:rsid w:val="0040313A"/>
    <w:rsid w:val="00403AE9"/>
    <w:rsid w:val="00403E01"/>
    <w:rsid w:val="00404567"/>
    <w:rsid w:val="00404A97"/>
    <w:rsid w:val="00407F82"/>
    <w:rsid w:val="0041009B"/>
    <w:rsid w:val="00410431"/>
    <w:rsid w:val="004116D7"/>
    <w:rsid w:val="0041210D"/>
    <w:rsid w:val="004125C2"/>
    <w:rsid w:val="00412998"/>
    <w:rsid w:val="00412D01"/>
    <w:rsid w:val="0041300F"/>
    <w:rsid w:val="00413345"/>
    <w:rsid w:val="00413E37"/>
    <w:rsid w:val="00415384"/>
    <w:rsid w:val="00415F66"/>
    <w:rsid w:val="00416583"/>
    <w:rsid w:val="004176C5"/>
    <w:rsid w:val="004204F2"/>
    <w:rsid w:val="00420654"/>
    <w:rsid w:val="00420875"/>
    <w:rsid w:val="00421493"/>
    <w:rsid w:val="00421C0B"/>
    <w:rsid w:val="00422172"/>
    <w:rsid w:val="00422257"/>
    <w:rsid w:val="0042258A"/>
    <w:rsid w:val="00423466"/>
    <w:rsid w:val="00423558"/>
    <w:rsid w:val="00423779"/>
    <w:rsid w:val="00423C21"/>
    <w:rsid w:val="00424C1F"/>
    <w:rsid w:val="00424D5E"/>
    <w:rsid w:val="00425375"/>
    <w:rsid w:val="004258F2"/>
    <w:rsid w:val="00425FF5"/>
    <w:rsid w:val="00427337"/>
    <w:rsid w:val="00427AD2"/>
    <w:rsid w:val="00427E91"/>
    <w:rsid w:val="004300FD"/>
    <w:rsid w:val="004301A8"/>
    <w:rsid w:val="0043092C"/>
    <w:rsid w:val="0043139C"/>
    <w:rsid w:val="00431450"/>
    <w:rsid w:val="00431978"/>
    <w:rsid w:val="00431C08"/>
    <w:rsid w:val="00432CE3"/>
    <w:rsid w:val="00432D40"/>
    <w:rsid w:val="004344DD"/>
    <w:rsid w:val="0043478C"/>
    <w:rsid w:val="00434E9E"/>
    <w:rsid w:val="004350FA"/>
    <w:rsid w:val="004357DD"/>
    <w:rsid w:val="00435B51"/>
    <w:rsid w:val="0043626E"/>
    <w:rsid w:val="00436E6D"/>
    <w:rsid w:val="00437275"/>
    <w:rsid w:val="00437296"/>
    <w:rsid w:val="004372F8"/>
    <w:rsid w:val="00437975"/>
    <w:rsid w:val="00437DA5"/>
    <w:rsid w:val="00440B41"/>
    <w:rsid w:val="0044151E"/>
    <w:rsid w:val="00441950"/>
    <w:rsid w:val="00441DA4"/>
    <w:rsid w:val="00441FDC"/>
    <w:rsid w:val="00442CA2"/>
    <w:rsid w:val="00443B45"/>
    <w:rsid w:val="004463F5"/>
    <w:rsid w:val="00446657"/>
    <w:rsid w:val="0044699B"/>
    <w:rsid w:val="00447220"/>
    <w:rsid w:val="004505D9"/>
    <w:rsid w:val="00450877"/>
    <w:rsid w:val="00451DA6"/>
    <w:rsid w:val="004521F0"/>
    <w:rsid w:val="00452222"/>
    <w:rsid w:val="004523D2"/>
    <w:rsid w:val="00452881"/>
    <w:rsid w:val="004538AD"/>
    <w:rsid w:val="00453B6B"/>
    <w:rsid w:val="00454C2D"/>
    <w:rsid w:val="00455F88"/>
    <w:rsid w:val="00456329"/>
    <w:rsid w:val="004573D9"/>
    <w:rsid w:val="00460298"/>
    <w:rsid w:val="00461041"/>
    <w:rsid w:val="00461D3A"/>
    <w:rsid w:val="00461F5F"/>
    <w:rsid w:val="00461F71"/>
    <w:rsid w:val="00461FF8"/>
    <w:rsid w:val="00462B22"/>
    <w:rsid w:val="00462BB2"/>
    <w:rsid w:val="00463667"/>
    <w:rsid w:val="00465B09"/>
    <w:rsid w:val="0046761F"/>
    <w:rsid w:val="00467684"/>
    <w:rsid w:val="00467740"/>
    <w:rsid w:val="004705FF"/>
    <w:rsid w:val="004709E6"/>
    <w:rsid w:val="00471574"/>
    <w:rsid w:val="00471695"/>
    <w:rsid w:val="0047297E"/>
    <w:rsid w:val="00472C43"/>
    <w:rsid w:val="0047379D"/>
    <w:rsid w:val="004738D5"/>
    <w:rsid w:val="00474711"/>
    <w:rsid w:val="0047490F"/>
    <w:rsid w:val="00474EAA"/>
    <w:rsid w:val="00474ED7"/>
    <w:rsid w:val="00475078"/>
    <w:rsid w:val="00475B77"/>
    <w:rsid w:val="00475CF8"/>
    <w:rsid w:val="00475E4A"/>
    <w:rsid w:val="0047604C"/>
    <w:rsid w:val="0047677F"/>
    <w:rsid w:val="00477BC1"/>
    <w:rsid w:val="00477FFB"/>
    <w:rsid w:val="004809CE"/>
    <w:rsid w:val="00481237"/>
    <w:rsid w:val="004812A0"/>
    <w:rsid w:val="004819BF"/>
    <w:rsid w:val="00483B3D"/>
    <w:rsid w:val="00483E41"/>
    <w:rsid w:val="00484CDB"/>
    <w:rsid w:val="004859F7"/>
    <w:rsid w:val="00485A40"/>
    <w:rsid w:val="00485DCD"/>
    <w:rsid w:val="004866D9"/>
    <w:rsid w:val="004872F0"/>
    <w:rsid w:val="00487447"/>
    <w:rsid w:val="00487D6D"/>
    <w:rsid w:val="00490490"/>
    <w:rsid w:val="00490C8B"/>
    <w:rsid w:val="00490D97"/>
    <w:rsid w:val="00492051"/>
    <w:rsid w:val="00493B40"/>
    <w:rsid w:val="00493B89"/>
    <w:rsid w:val="00493C96"/>
    <w:rsid w:val="00493DDF"/>
    <w:rsid w:val="00494A6C"/>
    <w:rsid w:val="00494CB3"/>
    <w:rsid w:val="00494F6E"/>
    <w:rsid w:val="00496594"/>
    <w:rsid w:val="004970CD"/>
    <w:rsid w:val="00497E77"/>
    <w:rsid w:val="00497EA1"/>
    <w:rsid w:val="004A044A"/>
    <w:rsid w:val="004A0CFF"/>
    <w:rsid w:val="004A17B3"/>
    <w:rsid w:val="004A2936"/>
    <w:rsid w:val="004A3731"/>
    <w:rsid w:val="004A3742"/>
    <w:rsid w:val="004A3900"/>
    <w:rsid w:val="004A3BBF"/>
    <w:rsid w:val="004A3D93"/>
    <w:rsid w:val="004A517F"/>
    <w:rsid w:val="004A537F"/>
    <w:rsid w:val="004A6045"/>
    <w:rsid w:val="004A7F79"/>
    <w:rsid w:val="004A7F88"/>
    <w:rsid w:val="004B0755"/>
    <w:rsid w:val="004B08AC"/>
    <w:rsid w:val="004B0E8B"/>
    <w:rsid w:val="004B0FCD"/>
    <w:rsid w:val="004B1A2B"/>
    <w:rsid w:val="004B210A"/>
    <w:rsid w:val="004B27FA"/>
    <w:rsid w:val="004B39E0"/>
    <w:rsid w:val="004B3ABF"/>
    <w:rsid w:val="004B3DFC"/>
    <w:rsid w:val="004B5E13"/>
    <w:rsid w:val="004B5ED8"/>
    <w:rsid w:val="004B5F30"/>
    <w:rsid w:val="004B657E"/>
    <w:rsid w:val="004B71E9"/>
    <w:rsid w:val="004B731A"/>
    <w:rsid w:val="004B7374"/>
    <w:rsid w:val="004B7F2A"/>
    <w:rsid w:val="004C04C1"/>
    <w:rsid w:val="004C080C"/>
    <w:rsid w:val="004C0AC9"/>
    <w:rsid w:val="004C1159"/>
    <w:rsid w:val="004C1414"/>
    <w:rsid w:val="004C166E"/>
    <w:rsid w:val="004C187A"/>
    <w:rsid w:val="004C2FBC"/>
    <w:rsid w:val="004C3ACA"/>
    <w:rsid w:val="004C3E55"/>
    <w:rsid w:val="004C4D84"/>
    <w:rsid w:val="004C5CA2"/>
    <w:rsid w:val="004C6325"/>
    <w:rsid w:val="004C6C32"/>
    <w:rsid w:val="004C791D"/>
    <w:rsid w:val="004D0C41"/>
    <w:rsid w:val="004D15AC"/>
    <w:rsid w:val="004D1772"/>
    <w:rsid w:val="004D1E02"/>
    <w:rsid w:val="004D2FCE"/>
    <w:rsid w:val="004D3271"/>
    <w:rsid w:val="004D33BC"/>
    <w:rsid w:val="004D3DBF"/>
    <w:rsid w:val="004D5252"/>
    <w:rsid w:val="004D6336"/>
    <w:rsid w:val="004D6778"/>
    <w:rsid w:val="004D6BF6"/>
    <w:rsid w:val="004D7595"/>
    <w:rsid w:val="004D7843"/>
    <w:rsid w:val="004D7B22"/>
    <w:rsid w:val="004E14EE"/>
    <w:rsid w:val="004E1BF1"/>
    <w:rsid w:val="004E2CBC"/>
    <w:rsid w:val="004E3049"/>
    <w:rsid w:val="004E32F7"/>
    <w:rsid w:val="004E39B1"/>
    <w:rsid w:val="004E3EF4"/>
    <w:rsid w:val="004E3F18"/>
    <w:rsid w:val="004E3F7A"/>
    <w:rsid w:val="004E46DD"/>
    <w:rsid w:val="004E47F5"/>
    <w:rsid w:val="004E57A9"/>
    <w:rsid w:val="004E6030"/>
    <w:rsid w:val="004E6374"/>
    <w:rsid w:val="004E755A"/>
    <w:rsid w:val="004E7ADF"/>
    <w:rsid w:val="004F0837"/>
    <w:rsid w:val="004F24CA"/>
    <w:rsid w:val="004F255C"/>
    <w:rsid w:val="004F32DF"/>
    <w:rsid w:val="004F3A8F"/>
    <w:rsid w:val="004F59C3"/>
    <w:rsid w:val="004F5E36"/>
    <w:rsid w:val="004F63E8"/>
    <w:rsid w:val="004F6DF4"/>
    <w:rsid w:val="004F72EA"/>
    <w:rsid w:val="004F7500"/>
    <w:rsid w:val="004F7DD4"/>
    <w:rsid w:val="004F7DD7"/>
    <w:rsid w:val="005000B0"/>
    <w:rsid w:val="00500541"/>
    <w:rsid w:val="00501218"/>
    <w:rsid w:val="00501DF2"/>
    <w:rsid w:val="00502787"/>
    <w:rsid w:val="005035B1"/>
    <w:rsid w:val="005039A3"/>
    <w:rsid w:val="00503D75"/>
    <w:rsid w:val="00503FC8"/>
    <w:rsid w:val="005046AD"/>
    <w:rsid w:val="005068EE"/>
    <w:rsid w:val="00506A13"/>
    <w:rsid w:val="005078FE"/>
    <w:rsid w:val="005079F2"/>
    <w:rsid w:val="00507D95"/>
    <w:rsid w:val="00507DBA"/>
    <w:rsid w:val="005100BA"/>
    <w:rsid w:val="00511093"/>
    <w:rsid w:val="0051129D"/>
    <w:rsid w:val="00511486"/>
    <w:rsid w:val="0051160B"/>
    <w:rsid w:val="00511C95"/>
    <w:rsid w:val="00511E50"/>
    <w:rsid w:val="00512787"/>
    <w:rsid w:val="00512834"/>
    <w:rsid w:val="00513411"/>
    <w:rsid w:val="00513865"/>
    <w:rsid w:val="00513C32"/>
    <w:rsid w:val="00514147"/>
    <w:rsid w:val="00514153"/>
    <w:rsid w:val="00514374"/>
    <w:rsid w:val="00514533"/>
    <w:rsid w:val="00514D72"/>
    <w:rsid w:val="005162D6"/>
    <w:rsid w:val="00516F08"/>
    <w:rsid w:val="0051758E"/>
    <w:rsid w:val="00517792"/>
    <w:rsid w:val="00517A55"/>
    <w:rsid w:val="00517D33"/>
    <w:rsid w:val="00520392"/>
    <w:rsid w:val="0052060C"/>
    <w:rsid w:val="00520F53"/>
    <w:rsid w:val="005211B3"/>
    <w:rsid w:val="00521577"/>
    <w:rsid w:val="005218ED"/>
    <w:rsid w:val="00521B4F"/>
    <w:rsid w:val="00521E14"/>
    <w:rsid w:val="00522344"/>
    <w:rsid w:val="00522791"/>
    <w:rsid w:val="00522C2B"/>
    <w:rsid w:val="00522C9A"/>
    <w:rsid w:val="005234D4"/>
    <w:rsid w:val="005238E2"/>
    <w:rsid w:val="00523D2F"/>
    <w:rsid w:val="005250B4"/>
    <w:rsid w:val="0052535E"/>
    <w:rsid w:val="00527974"/>
    <w:rsid w:val="00527A7D"/>
    <w:rsid w:val="00527EEC"/>
    <w:rsid w:val="00530172"/>
    <w:rsid w:val="005301E1"/>
    <w:rsid w:val="00530604"/>
    <w:rsid w:val="00530F9D"/>
    <w:rsid w:val="00530FC0"/>
    <w:rsid w:val="00531344"/>
    <w:rsid w:val="00531AEC"/>
    <w:rsid w:val="005327B9"/>
    <w:rsid w:val="00532B0B"/>
    <w:rsid w:val="00532BC7"/>
    <w:rsid w:val="00532ED1"/>
    <w:rsid w:val="005331A5"/>
    <w:rsid w:val="00533D2C"/>
    <w:rsid w:val="00533ED1"/>
    <w:rsid w:val="00533F27"/>
    <w:rsid w:val="005348D5"/>
    <w:rsid w:val="00534AC6"/>
    <w:rsid w:val="005354D5"/>
    <w:rsid w:val="00535E75"/>
    <w:rsid w:val="00536198"/>
    <w:rsid w:val="00540EED"/>
    <w:rsid w:val="00541621"/>
    <w:rsid w:val="0054184F"/>
    <w:rsid w:val="00542A55"/>
    <w:rsid w:val="005440D6"/>
    <w:rsid w:val="00544382"/>
    <w:rsid w:val="005460A5"/>
    <w:rsid w:val="005462DF"/>
    <w:rsid w:val="005463DD"/>
    <w:rsid w:val="00546946"/>
    <w:rsid w:val="00550D0B"/>
    <w:rsid w:val="00550ECA"/>
    <w:rsid w:val="00551558"/>
    <w:rsid w:val="0055192D"/>
    <w:rsid w:val="00551DFD"/>
    <w:rsid w:val="005529E7"/>
    <w:rsid w:val="00553307"/>
    <w:rsid w:val="00554437"/>
    <w:rsid w:val="00554F8C"/>
    <w:rsid w:val="00555850"/>
    <w:rsid w:val="00560EFF"/>
    <w:rsid w:val="005621D2"/>
    <w:rsid w:val="00562580"/>
    <w:rsid w:val="00562D2A"/>
    <w:rsid w:val="00563AEA"/>
    <w:rsid w:val="0056463B"/>
    <w:rsid w:val="00565ABE"/>
    <w:rsid w:val="00565F17"/>
    <w:rsid w:val="005670C2"/>
    <w:rsid w:val="005673C4"/>
    <w:rsid w:val="005675E4"/>
    <w:rsid w:val="00567D60"/>
    <w:rsid w:val="00567E91"/>
    <w:rsid w:val="0057027B"/>
    <w:rsid w:val="00570539"/>
    <w:rsid w:val="005710DD"/>
    <w:rsid w:val="0057113F"/>
    <w:rsid w:val="0057146C"/>
    <w:rsid w:val="00571842"/>
    <w:rsid w:val="005731CB"/>
    <w:rsid w:val="00573461"/>
    <w:rsid w:val="00573E06"/>
    <w:rsid w:val="005749EB"/>
    <w:rsid w:val="00577098"/>
    <w:rsid w:val="005775AD"/>
    <w:rsid w:val="0058051B"/>
    <w:rsid w:val="00581F9E"/>
    <w:rsid w:val="0058206A"/>
    <w:rsid w:val="00582167"/>
    <w:rsid w:val="00582416"/>
    <w:rsid w:val="00584021"/>
    <w:rsid w:val="005840A8"/>
    <w:rsid w:val="00584AF7"/>
    <w:rsid w:val="005852D4"/>
    <w:rsid w:val="005852FB"/>
    <w:rsid w:val="0058563A"/>
    <w:rsid w:val="00585EF1"/>
    <w:rsid w:val="005868A2"/>
    <w:rsid w:val="005868C5"/>
    <w:rsid w:val="00586A91"/>
    <w:rsid w:val="00586CB7"/>
    <w:rsid w:val="005871DB"/>
    <w:rsid w:val="0058755B"/>
    <w:rsid w:val="00587D02"/>
    <w:rsid w:val="00587D15"/>
    <w:rsid w:val="005906C4"/>
    <w:rsid w:val="00590B3F"/>
    <w:rsid w:val="00592570"/>
    <w:rsid w:val="00592F23"/>
    <w:rsid w:val="00593ACE"/>
    <w:rsid w:val="0059454A"/>
    <w:rsid w:val="00594AE0"/>
    <w:rsid w:val="00595334"/>
    <w:rsid w:val="00595DC6"/>
    <w:rsid w:val="00595EFF"/>
    <w:rsid w:val="0059738B"/>
    <w:rsid w:val="005973AC"/>
    <w:rsid w:val="005A0281"/>
    <w:rsid w:val="005A05E3"/>
    <w:rsid w:val="005A0876"/>
    <w:rsid w:val="005A0E12"/>
    <w:rsid w:val="005A1F38"/>
    <w:rsid w:val="005A23B8"/>
    <w:rsid w:val="005A23B9"/>
    <w:rsid w:val="005A2BBC"/>
    <w:rsid w:val="005A2DF3"/>
    <w:rsid w:val="005A3399"/>
    <w:rsid w:val="005A38EF"/>
    <w:rsid w:val="005A58B9"/>
    <w:rsid w:val="005A61DA"/>
    <w:rsid w:val="005A639E"/>
    <w:rsid w:val="005A6542"/>
    <w:rsid w:val="005A686A"/>
    <w:rsid w:val="005A6EB6"/>
    <w:rsid w:val="005A7F73"/>
    <w:rsid w:val="005B0137"/>
    <w:rsid w:val="005B048D"/>
    <w:rsid w:val="005B196D"/>
    <w:rsid w:val="005B1A46"/>
    <w:rsid w:val="005B1A9F"/>
    <w:rsid w:val="005B1ED3"/>
    <w:rsid w:val="005B2258"/>
    <w:rsid w:val="005B3BE2"/>
    <w:rsid w:val="005B47D2"/>
    <w:rsid w:val="005B5301"/>
    <w:rsid w:val="005B56F6"/>
    <w:rsid w:val="005B69B9"/>
    <w:rsid w:val="005B6D3D"/>
    <w:rsid w:val="005B748A"/>
    <w:rsid w:val="005C09E4"/>
    <w:rsid w:val="005C119A"/>
    <w:rsid w:val="005C1A9B"/>
    <w:rsid w:val="005C1BFB"/>
    <w:rsid w:val="005C1F8F"/>
    <w:rsid w:val="005C22FF"/>
    <w:rsid w:val="005C2C9C"/>
    <w:rsid w:val="005C2FDE"/>
    <w:rsid w:val="005C3138"/>
    <w:rsid w:val="005C3599"/>
    <w:rsid w:val="005C3ED9"/>
    <w:rsid w:val="005C4CA2"/>
    <w:rsid w:val="005C4F39"/>
    <w:rsid w:val="005C5732"/>
    <w:rsid w:val="005C57C3"/>
    <w:rsid w:val="005C5D1E"/>
    <w:rsid w:val="005C5E73"/>
    <w:rsid w:val="005C6220"/>
    <w:rsid w:val="005C6AA1"/>
    <w:rsid w:val="005D04FA"/>
    <w:rsid w:val="005D1166"/>
    <w:rsid w:val="005D2A93"/>
    <w:rsid w:val="005D2C4F"/>
    <w:rsid w:val="005D30E7"/>
    <w:rsid w:val="005D3986"/>
    <w:rsid w:val="005D3B7D"/>
    <w:rsid w:val="005D3B9E"/>
    <w:rsid w:val="005D3F7A"/>
    <w:rsid w:val="005D3F95"/>
    <w:rsid w:val="005D4108"/>
    <w:rsid w:val="005D425A"/>
    <w:rsid w:val="005D4737"/>
    <w:rsid w:val="005D4934"/>
    <w:rsid w:val="005D6699"/>
    <w:rsid w:val="005D7062"/>
    <w:rsid w:val="005E0A5A"/>
    <w:rsid w:val="005E1482"/>
    <w:rsid w:val="005E1AF7"/>
    <w:rsid w:val="005E1C6C"/>
    <w:rsid w:val="005E2764"/>
    <w:rsid w:val="005E375F"/>
    <w:rsid w:val="005E3C1E"/>
    <w:rsid w:val="005E4622"/>
    <w:rsid w:val="005E4DD0"/>
    <w:rsid w:val="005E50CE"/>
    <w:rsid w:val="005E53CA"/>
    <w:rsid w:val="005E768C"/>
    <w:rsid w:val="005E7C80"/>
    <w:rsid w:val="005E7FAE"/>
    <w:rsid w:val="005F0151"/>
    <w:rsid w:val="005F0607"/>
    <w:rsid w:val="005F09C7"/>
    <w:rsid w:val="005F0B97"/>
    <w:rsid w:val="005F1E99"/>
    <w:rsid w:val="005F1EB2"/>
    <w:rsid w:val="005F2678"/>
    <w:rsid w:val="005F2CB5"/>
    <w:rsid w:val="005F39C2"/>
    <w:rsid w:val="005F523F"/>
    <w:rsid w:val="005F58E3"/>
    <w:rsid w:val="005F62B6"/>
    <w:rsid w:val="005F6B77"/>
    <w:rsid w:val="005F6BF4"/>
    <w:rsid w:val="005F7BB6"/>
    <w:rsid w:val="005F7EB9"/>
    <w:rsid w:val="00603260"/>
    <w:rsid w:val="006043CD"/>
    <w:rsid w:val="00604BFE"/>
    <w:rsid w:val="0060684D"/>
    <w:rsid w:val="00606B65"/>
    <w:rsid w:val="00606E98"/>
    <w:rsid w:val="00607B55"/>
    <w:rsid w:val="00607D79"/>
    <w:rsid w:val="006102C9"/>
    <w:rsid w:val="006103E3"/>
    <w:rsid w:val="0061125B"/>
    <w:rsid w:val="00611297"/>
    <w:rsid w:val="006116D2"/>
    <w:rsid w:val="006124E5"/>
    <w:rsid w:val="00612837"/>
    <w:rsid w:val="00613335"/>
    <w:rsid w:val="00614894"/>
    <w:rsid w:val="00614D6E"/>
    <w:rsid w:val="00615A8E"/>
    <w:rsid w:val="00616E8F"/>
    <w:rsid w:val="006177AF"/>
    <w:rsid w:val="00620571"/>
    <w:rsid w:val="00620A11"/>
    <w:rsid w:val="006210EB"/>
    <w:rsid w:val="00621D11"/>
    <w:rsid w:val="006236E6"/>
    <w:rsid w:val="00623D42"/>
    <w:rsid w:val="0062411F"/>
    <w:rsid w:val="006242D7"/>
    <w:rsid w:val="0062517D"/>
    <w:rsid w:val="006256E2"/>
    <w:rsid w:val="0062574C"/>
    <w:rsid w:val="00625F38"/>
    <w:rsid w:val="00626658"/>
    <w:rsid w:val="00626943"/>
    <w:rsid w:val="006271FB"/>
    <w:rsid w:val="006278E9"/>
    <w:rsid w:val="0063070F"/>
    <w:rsid w:val="00630B9E"/>
    <w:rsid w:val="00631C82"/>
    <w:rsid w:val="00632C4C"/>
    <w:rsid w:val="006340AB"/>
    <w:rsid w:val="006358A0"/>
    <w:rsid w:val="0063663B"/>
    <w:rsid w:val="00636BA8"/>
    <w:rsid w:val="00637C60"/>
    <w:rsid w:val="00640B33"/>
    <w:rsid w:val="006413C2"/>
    <w:rsid w:val="00642407"/>
    <w:rsid w:val="0064298D"/>
    <w:rsid w:val="00642C15"/>
    <w:rsid w:val="006430E6"/>
    <w:rsid w:val="006443B2"/>
    <w:rsid w:val="0064449B"/>
    <w:rsid w:val="0064519A"/>
    <w:rsid w:val="00645444"/>
    <w:rsid w:val="00645623"/>
    <w:rsid w:val="00647675"/>
    <w:rsid w:val="006507F5"/>
    <w:rsid w:val="00650B48"/>
    <w:rsid w:val="00650E42"/>
    <w:rsid w:val="006514AF"/>
    <w:rsid w:val="00652867"/>
    <w:rsid w:val="00653CBE"/>
    <w:rsid w:val="00653F64"/>
    <w:rsid w:val="006547FF"/>
    <w:rsid w:val="00654B5A"/>
    <w:rsid w:val="006552C7"/>
    <w:rsid w:val="006559F7"/>
    <w:rsid w:val="00657172"/>
    <w:rsid w:val="006572FC"/>
    <w:rsid w:val="00660819"/>
    <w:rsid w:val="00661317"/>
    <w:rsid w:val="006616FD"/>
    <w:rsid w:val="00661DAB"/>
    <w:rsid w:val="00663AE6"/>
    <w:rsid w:val="00663BBF"/>
    <w:rsid w:val="00664125"/>
    <w:rsid w:val="00664398"/>
    <w:rsid w:val="00664421"/>
    <w:rsid w:val="00664ABC"/>
    <w:rsid w:val="00664EF4"/>
    <w:rsid w:val="00665DAB"/>
    <w:rsid w:val="006660D9"/>
    <w:rsid w:val="006663CC"/>
    <w:rsid w:val="00666B1E"/>
    <w:rsid w:val="0066735E"/>
    <w:rsid w:val="00667736"/>
    <w:rsid w:val="00667909"/>
    <w:rsid w:val="00670CA7"/>
    <w:rsid w:val="006713B6"/>
    <w:rsid w:val="006714F5"/>
    <w:rsid w:val="0067183E"/>
    <w:rsid w:val="00672698"/>
    <w:rsid w:val="006727B5"/>
    <w:rsid w:val="0067293B"/>
    <w:rsid w:val="00673D24"/>
    <w:rsid w:val="0067408C"/>
    <w:rsid w:val="006742CD"/>
    <w:rsid w:val="00674F7B"/>
    <w:rsid w:val="00675620"/>
    <w:rsid w:val="00675BBB"/>
    <w:rsid w:val="00677A7F"/>
    <w:rsid w:val="00677B13"/>
    <w:rsid w:val="00677F9D"/>
    <w:rsid w:val="00680A22"/>
    <w:rsid w:val="00680E0A"/>
    <w:rsid w:val="00683264"/>
    <w:rsid w:val="006833CF"/>
    <w:rsid w:val="006850CB"/>
    <w:rsid w:val="006859C8"/>
    <w:rsid w:val="00685A59"/>
    <w:rsid w:val="006867BC"/>
    <w:rsid w:val="006869C8"/>
    <w:rsid w:val="00686F4C"/>
    <w:rsid w:val="00687695"/>
    <w:rsid w:val="00690CA5"/>
    <w:rsid w:val="006911A8"/>
    <w:rsid w:val="00691C11"/>
    <w:rsid w:val="00691D05"/>
    <w:rsid w:val="00692DE1"/>
    <w:rsid w:val="00692E06"/>
    <w:rsid w:val="00693E4C"/>
    <w:rsid w:val="0069502E"/>
    <w:rsid w:val="0069507F"/>
    <w:rsid w:val="00695143"/>
    <w:rsid w:val="00695575"/>
    <w:rsid w:val="006958A1"/>
    <w:rsid w:val="00695EBD"/>
    <w:rsid w:val="006A0246"/>
    <w:rsid w:val="006A0877"/>
    <w:rsid w:val="006A1DC1"/>
    <w:rsid w:val="006A25F3"/>
    <w:rsid w:val="006A3086"/>
    <w:rsid w:val="006A3862"/>
    <w:rsid w:val="006A45D7"/>
    <w:rsid w:val="006A4DC2"/>
    <w:rsid w:val="006A51EC"/>
    <w:rsid w:val="006A52B0"/>
    <w:rsid w:val="006A597A"/>
    <w:rsid w:val="006A5F25"/>
    <w:rsid w:val="006A6645"/>
    <w:rsid w:val="006A6875"/>
    <w:rsid w:val="006A69C8"/>
    <w:rsid w:val="006A6F26"/>
    <w:rsid w:val="006A7ECC"/>
    <w:rsid w:val="006B2D9D"/>
    <w:rsid w:val="006B3465"/>
    <w:rsid w:val="006B4DB3"/>
    <w:rsid w:val="006B5419"/>
    <w:rsid w:val="006B6FAA"/>
    <w:rsid w:val="006B710D"/>
    <w:rsid w:val="006B7C49"/>
    <w:rsid w:val="006B7D87"/>
    <w:rsid w:val="006C0F3E"/>
    <w:rsid w:val="006C1473"/>
    <w:rsid w:val="006C2B49"/>
    <w:rsid w:val="006C30BC"/>
    <w:rsid w:val="006C3114"/>
    <w:rsid w:val="006C4691"/>
    <w:rsid w:val="006C55AE"/>
    <w:rsid w:val="006C65DB"/>
    <w:rsid w:val="006C6E01"/>
    <w:rsid w:val="006C72A7"/>
    <w:rsid w:val="006C7466"/>
    <w:rsid w:val="006D010A"/>
    <w:rsid w:val="006D0144"/>
    <w:rsid w:val="006D018C"/>
    <w:rsid w:val="006D1B4B"/>
    <w:rsid w:val="006D25C6"/>
    <w:rsid w:val="006D3891"/>
    <w:rsid w:val="006D3A84"/>
    <w:rsid w:val="006D4946"/>
    <w:rsid w:val="006D5CE9"/>
    <w:rsid w:val="006D6039"/>
    <w:rsid w:val="006D6C19"/>
    <w:rsid w:val="006D7A2F"/>
    <w:rsid w:val="006D7C33"/>
    <w:rsid w:val="006E0E85"/>
    <w:rsid w:val="006E13E5"/>
    <w:rsid w:val="006E3025"/>
    <w:rsid w:val="006E328A"/>
    <w:rsid w:val="006E3C00"/>
    <w:rsid w:val="006E5F91"/>
    <w:rsid w:val="006E7827"/>
    <w:rsid w:val="006F0221"/>
    <w:rsid w:val="006F0301"/>
    <w:rsid w:val="006F07A2"/>
    <w:rsid w:val="006F08FF"/>
    <w:rsid w:val="006F0FCB"/>
    <w:rsid w:val="006F2407"/>
    <w:rsid w:val="006F2A44"/>
    <w:rsid w:val="006F3869"/>
    <w:rsid w:val="006F3D63"/>
    <w:rsid w:val="006F41AB"/>
    <w:rsid w:val="006F4A4A"/>
    <w:rsid w:val="006F4DD3"/>
    <w:rsid w:val="006F524D"/>
    <w:rsid w:val="006F730E"/>
    <w:rsid w:val="006F7920"/>
    <w:rsid w:val="006F7931"/>
    <w:rsid w:val="0070001D"/>
    <w:rsid w:val="00700E29"/>
    <w:rsid w:val="0070147E"/>
    <w:rsid w:val="0070289A"/>
    <w:rsid w:val="00704981"/>
    <w:rsid w:val="00705309"/>
    <w:rsid w:val="00705767"/>
    <w:rsid w:val="00705B1A"/>
    <w:rsid w:val="00706245"/>
    <w:rsid w:val="0070633D"/>
    <w:rsid w:val="00707891"/>
    <w:rsid w:val="00710205"/>
    <w:rsid w:val="0071064E"/>
    <w:rsid w:val="00710937"/>
    <w:rsid w:val="00711114"/>
    <w:rsid w:val="00711D99"/>
    <w:rsid w:val="00712595"/>
    <w:rsid w:val="00712627"/>
    <w:rsid w:val="00712657"/>
    <w:rsid w:val="00713222"/>
    <w:rsid w:val="00714511"/>
    <w:rsid w:val="007146E7"/>
    <w:rsid w:val="00714A83"/>
    <w:rsid w:val="00715441"/>
    <w:rsid w:val="00715CC4"/>
    <w:rsid w:val="00717071"/>
    <w:rsid w:val="007204B4"/>
    <w:rsid w:val="007206AB"/>
    <w:rsid w:val="00720E4B"/>
    <w:rsid w:val="00721448"/>
    <w:rsid w:val="00721CD7"/>
    <w:rsid w:val="0072293D"/>
    <w:rsid w:val="00722A2C"/>
    <w:rsid w:val="00722E88"/>
    <w:rsid w:val="00723C44"/>
    <w:rsid w:val="00724334"/>
    <w:rsid w:val="00724535"/>
    <w:rsid w:val="00724832"/>
    <w:rsid w:val="00724973"/>
    <w:rsid w:val="00724C22"/>
    <w:rsid w:val="0072526E"/>
    <w:rsid w:val="007258C3"/>
    <w:rsid w:val="00726B0C"/>
    <w:rsid w:val="007322F5"/>
    <w:rsid w:val="00732E5A"/>
    <w:rsid w:val="00734463"/>
    <w:rsid w:val="007361BF"/>
    <w:rsid w:val="00736666"/>
    <w:rsid w:val="00736800"/>
    <w:rsid w:val="00736AB5"/>
    <w:rsid w:val="00736B12"/>
    <w:rsid w:val="00740027"/>
    <w:rsid w:val="00740742"/>
    <w:rsid w:val="00740F8E"/>
    <w:rsid w:val="007416CB"/>
    <w:rsid w:val="007417DE"/>
    <w:rsid w:val="00741AE4"/>
    <w:rsid w:val="0074276B"/>
    <w:rsid w:val="00742A55"/>
    <w:rsid w:val="00742D15"/>
    <w:rsid w:val="00743654"/>
    <w:rsid w:val="007438A4"/>
    <w:rsid w:val="00744518"/>
    <w:rsid w:val="00745505"/>
    <w:rsid w:val="007465F8"/>
    <w:rsid w:val="00746935"/>
    <w:rsid w:val="00746C4D"/>
    <w:rsid w:val="00746D7A"/>
    <w:rsid w:val="00746EA9"/>
    <w:rsid w:val="007502B4"/>
    <w:rsid w:val="00750E4D"/>
    <w:rsid w:val="00751A55"/>
    <w:rsid w:val="00752284"/>
    <w:rsid w:val="007530F5"/>
    <w:rsid w:val="00754076"/>
    <w:rsid w:val="007544D2"/>
    <w:rsid w:val="00754DEE"/>
    <w:rsid w:val="00755F07"/>
    <w:rsid w:val="00756FFB"/>
    <w:rsid w:val="00761032"/>
    <w:rsid w:val="00761BBD"/>
    <w:rsid w:val="00762B2B"/>
    <w:rsid w:val="00763034"/>
    <w:rsid w:val="0076345A"/>
    <w:rsid w:val="0076349B"/>
    <w:rsid w:val="007640D9"/>
    <w:rsid w:val="0076490C"/>
    <w:rsid w:val="00764A30"/>
    <w:rsid w:val="00764ED2"/>
    <w:rsid w:val="00766DB2"/>
    <w:rsid w:val="007674B5"/>
    <w:rsid w:val="00767876"/>
    <w:rsid w:val="00767EE9"/>
    <w:rsid w:val="00770694"/>
    <w:rsid w:val="00770E59"/>
    <w:rsid w:val="0077158D"/>
    <w:rsid w:val="00771912"/>
    <w:rsid w:val="00771B35"/>
    <w:rsid w:val="00771F10"/>
    <w:rsid w:val="007726FF"/>
    <w:rsid w:val="007731DC"/>
    <w:rsid w:val="007746C0"/>
    <w:rsid w:val="00774BB9"/>
    <w:rsid w:val="00774E4D"/>
    <w:rsid w:val="007755D4"/>
    <w:rsid w:val="00775D30"/>
    <w:rsid w:val="0077708A"/>
    <w:rsid w:val="00777146"/>
    <w:rsid w:val="00780AF4"/>
    <w:rsid w:val="00781153"/>
    <w:rsid w:val="00781E71"/>
    <w:rsid w:val="00782A81"/>
    <w:rsid w:val="0078323F"/>
    <w:rsid w:val="007837B5"/>
    <w:rsid w:val="00783CEB"/>
    <w:rsid w:val="00783EB3"/>
    <w:rsid w:val="00785598"/>
    <w:rsid w:val="0078583D"/>
    <w:rsid w:val="00785B79"/>
    <w:rsid w:val="00785F51"/>
    <w:rsid w:val="00785FB9"/>
    <w:rsid w:val="00786550"/>
    <w:rsid w:val="0078684B"/>
    <w:rsid w:val="00786948"/>
    <w:rsid w:val="00786DF2"/>
    <w:rsid w:val="00787417"/>
    <w:rsid w:val="007877D9"/>
    <w:rsid w:val="00787D7D"/>
    <w:rsid w:val="00791852"/>
    <w:rsid w:val="007918AD"/>
    <w:rsid w:val="00791C75"/>
    <w:rsid w:val="00794FF2"/>
    <w:rsid w:val="007970FA"/>
    <w:rsid w:val="00797C89"/>
    <w:rsid w:val="007A0040"/>
    <w:rsid w:val="007A03BD"/>
    <w:rsid w:val="007A0537"/>
    <w:rsid w:val="007A09AC"/>
    <w:rsid w:val="007A0A41"/>
    <w:rsid w:val="007A107B"/>
    <w:rsid w:val="007A11A6"/>
    <w:rsid w:val="007A1353"/>
    <w:rsid w:val="007A1FA0"/>
    <w:rsid w:val="007A1FCA"/>
    <w:rsid w:val="007A21EA"/>
    <w:rsid w:val="007A2F7F"/>
    <w:rsid w:val="007A34BB"/>
    <w:rsid w:val="007A3504"/>
    <w:rsid w:val="007A403A"/>
    <w:rsid w:val="007A4052"/>
    <w:rsid w:val="007A454B"/>
    <w:rsid w:val="007A5944"/>
    <w:rsid w:val="007A5D89"/>
    <w:rsid w:val="007A5EB6"/>
    <w:rsid w:val="007A64B5"/>
    <w:rsid w:val="007A64C0"/>
    <w:rsid w:val="007A73DB"/>
    <w:rsid w:val="007A7570"/>
    <w:rsid w:val="007A75A3"/>
    <w:rsid w:val="007A7704"/>
    <w:rsid w:val="007A78E7"/>
    <w:rsid w:val="007B0B9D"/>
    <w:rsid w:val="007B10B5"/>
    <w:rsid w:val="007B3CDA"/>
    <w:rsid w:val="007B414C"/>
    <w:rsid w:val="007B5167"/>
    <w:rsid w:val="007B6007"/>
    <w:rsid w:val="007C12A5"/>
    <w:rsid w:val="007C19E2"/>
    <w:rsid w:val="007C1DBB"/>
    <w:rsid w:val="007C2D6D"/>
    <w:rsid w:val="007C3479"/>
    <w:rsid w:val="007C4BA2"/>
    <w:rsid w:val="007C510B"/>
    <w:rsid w:val="007C5BAA"/>
    <w:rsid w:val="007C5FC1"/>
    <w:rsid w:val="007C693E"/>
    <w:rsid w:val="007C69D7"/>
    <w:rsid w:val="007C6AEB"/>
    <w:rsid w:val="007C7BE2"/>
    <w:rsid w:val="007D0053"/>
    <w:rsid w:val="007D0D9E"/>
    <w:rsid w:val="007D1327"/>
    <w:rsid w:val="007D1557"/>
    <w:rsid w:val="007D1849"/>
    <w:rsid w:val="007D22B5"/>
    <w:rsid w:val="007D2EED"/>
    <w:rsid w:val="007D32E2"/>
    <w:rsid w:val="007D35E0"/>
    <w:rsid w:val="007D4CF2"/>
    <w:rsid w:val="007D57F9"/>
    <w:rsid w:val="007D6094"/>
    <w:rsid w:val="007D6B63"/>
    <w:rsid w:val="007D6C39"/>
    <w:rsid w:val="007D7AAE"/>
    <w:rsid w:val="007E05A2"/>
    <w:rsid w:val="007E2491"/>
    <w:rsid w:val="007E2B21"/>
    <w:rsid w:val="007E2B9E"/>
    <w:rsid w:val="007E3BD0"/>
    <w:rsid w:val="007E5382"/>
    <w:rsid w:val="007E56D4"/>
    <w:rsid w:val="007E6AD5"/>
    <w:rsid w:val="007E6B2A"/>
    <w:rsid w:val="007E6C14"/>
    <w:rsid w:val="007E6FBD"/>
    <w:rsid w:val="007E7F9B"/>
    <w:rsid w:val="007E7FD9"/>
    <w:rsid w:val="007F03E6"/>
    <w:rsid w:val="007F1A54"/>
    <w:rsid w:val="007F1E7A"/>
    <w:rsid w:val="007F232E"/>
    <w:rsid w:val="007F3D98"/>
    <w:rsid w:val="007F42A9"/>
    <w:rsid w:val="007F442D"/>
    <w:rsid w:val="007F4836"/>
    <w:rsid w:val="007F4D60"/>
    <w:rsid w:val="007F64B5"/>
    <w:rsid w:val="007F6F7C"/>
    <w:rsid w:val="007F7080"/>
    <w:rsid w:val="007F7EB2"/>
    <w:rsid w:val="00801344"/>
    <w:rsid w:val="008046FF"/>
    <w:rsid w:val="00804B76"/>
    <w:rsid w:val="00804BFA"/>
    <w:rsid w:val="00804D71"/>
    <w:rsid w:val="00805EB6"/>
    <w:rsid w:val="0080638C"/>
    <w:rsid w:val="00806587"/>
    <w:rsid w:val="008068DB"/>
    <w:rsid w:val="00806EE5"/>
    <w:rsid w:val="00807595"/>
    <w:rsid w:val="00807C27"/>
    <w:rsid w:val="00807D5B"/>
    <w:rsid w:val="00810305"/>
    <w:rsid w:val="00811077"/>
    <w:rsid w:val="00811FEB"/>
    <w:rsid w:val="00811FEC"/>
    <w:rsid w:val="008125C1"/>
    <w:rsid w:val="00812977"/>
    <w:rsid w:val="00812A59"/>
    <w:rsid w:val="00812B90"/>
    <w:rsid w:val="00812BA7"/>
    <w:rsid w:val="0081312E"/>
    <w:rsid w:val="00813B60"/>
    <w:rsid w:val="008143C6"/>
    <w:rsid w:val="008159D1"/>
    <w:rsid w:val="00816839"/>
    <w:rsid w:val="00816A9A"/>
    <w:rsid w:val="00817982"/>
    <w:rsid w:val="008213EE"/>
    <w:rsid w:val="0082276D"/>
    <w:rsid w:val="008232F9"/>
    <w:rsid w:val="00823914"/>
    <w:rsid w:val="00823B35"/>
    <w:rsid w:val="0082415C"/>
    <w:rsid w:val="0082655D"/>
    <w:rsid w:val="008270D7"/>
    <w:rsid w:val="0082737F"/>
    <w:rsid w:val="008274A3"/>
    <w:rsid w:val="00830573"/>
    <w:rsid w:val="00833681"/>
    <w:rsid w:val="00833845"/>
    <w:rsid w:val="00834199"/>
    <w:rsid w:val="00834345"/>
    <w:rsid w:val="00834D7D"/>
    <w:rsid w:val="0083583E"/>
    <w:rsid w:val="00835CEC"/>
    <w:rsid w:val="00835D35"/>
    <w:rsid w:val="008368FA"/>
    <w:rsid w:val="0083723A"/>
    <w:rsid w:val="008374FF"/>
    <w:rsid w:val="00837502"/>
    <w:rsid w:val="00840546"/>
    <w:rsid w:val="008407D7"/>
    <w:rsid w:val="0084151A"/>
    <w:rsid w:val="00842360"/>
    <w:rsid w:val="008437CD"/>
    <w:rsid w:val="00843819"/>
    <w:rsid w:val="008438BE"/>
    <w:rsid w:val="00844248"/>
    <w:rsid w:val="00844EE4"/>
    <w:rsid w:val="00845334"/>
    <w:rsid w:val="00845757"/>
    <w:rsid w:val="00845BFB"/>
    <w:rsid w:val="008464AF"/>
    <w:rsid w:val="008466AD"/>
    <w:rsid w:val="00847137"/>
    <w:rsid w:val="00847AC5"/>
    <w:rsid w:val="00847EF9"/>
    <w:rsid w:val="00847F0D"/>
    <w:rsid w:val="008506F5"/>
    <w:rsid w:val="00852230"/>
    <w:rsid w:val="00852D68"/>
    <w:rsid w:val="00852EED"/>
    <w:rsid w:val="0085421E"/>
    <w:rsid w:val="00856650"/>
    <w:rsid w:val="00856B91"/>
    <w:rsid w:val="00856F31"/>
    <w:rsid w:val="008579E4"/>
    <w:rsid w:val="00857F6B"/>
    <w:rsid w:val="008609BD"/>
    <w:rsid w:val="00860B7A"/>
    <w:rsid w:val="00861B05"/>
    <w:rsid w:val="008623BA"/>
    <w:rsid w:val="008635F4"/>
    <w:rsid w:val="00863F69"/>
    <w:rsid w:val="00864A14"/>
    <w:rsid w:val="00864ECF"/>
    <w:rsid w:val="0086599C"/>
    <w:rsid w:val="00865F7B"/>
    <w:rsid w:val="008673A8"/>
    <w:rsid w:val="00870A82"/>
    <w:rsid w:val="00870FEE"/>
    <w:rsid w:val="00871436"/>
    <w:rsid w:val="0087153A"/>
    <w:rsid w:val="008715BA"/>
    <w:rsid w:val="00871C67"/>
    <w:rsid w:val="0087378A"/>
    <w:rsid w:val="00873A5F"/>
    <w:rsid w:val="0087460B"/>
    <w:rsid w:val="008755FF"/>
    <w:rsid w:val="008756D6"/>
    <w:rsid w:val="00875709"/>
    <w:rsid w:val="00875CD2"/>
    <w:rsid w:val="00875DDA"/>
    <w:rsid w:val="0087638B"/>
    <w:rsid w:val="008764B1"/>
    <w:rsid w:val="00876C73"/>
    <w:rsid w:val="00876EEE"/>
    <w:rsid w:val="0087793A"/>
    <w:rsid w:val="00877A1C"/>
    <w:rsid w:val="00877D56"/>
    <w:rsid w:val="00880600"/>
    <w:rsid w:val="008809A6"/>
    <w:rsid w:val="008818CB"/>
    <w:rsid w:val="00881D8A"/>
    <w:rsid w:val="0088212D"/>
    <w:rsid w:val="00882AA5"/>
    <w:rsid w:val="00883A50"/>
    <w:rsid w:val="00883E18"/>
    <w:rsid w:val="00884280"/>
    <w:rsid w:val="0088473C"/>
    <w:rsid w:val="00884D45"/>
    <w:rsid w:val="008854F2"/>
    <w:rsid w:val="00885CB9"/>
    <w:rsid w:val="00885EE1"/>
    <w:rsid w:val="0088616B"/>
    <w:rsid w:val="0088646A"/>
    <w:rsid w:val="008865AF"/>
    <w:rsid w:val="008868C5"/>
    <w:rsid w:val="00890E63"/>
    <w:rsid w:val="008917C3"/>
    <w:rsid w:val="00891C72"/>
    <w:rsid w:val="00892C05"/>
    <w:rsid w:val="0089363F"/>
    <w:rsid w:val="00894CAE"/>
    <w:rsid w:val="00894E2E"/>
    <w:rsid w:val="00896263"/>
    <w:rsid w:val="00896C30"/>
    <w:rsid w:val="00896ED5"/>
    <w:rsid w:val="008975E8"/>
    <w:rsid w:val="0089775C"/>
    <w:rsid w:val="0089788D"/>
    <w:rsid w:val="00897AFA"/>
    <w:rsid w:val="008A0282"/>
    <w:rsid w:val="008A115B"/>
    <w:rsid w:val="008A1DF7"/>
    <w:rsid w:val="008A1E13"/>
    <w:rsid w:val="008A1FF5"/>
    <w:rsid w:val="008A2DEA"/>
    <w:rsid w:val="008A2E8A"/>
    <w:rsid w:val="008A2EF4"/>
    <w:rsid w:val="008A3768"/>
    <w:rsid w:val="008A3B8F"/>
    <w:rsid w:val="008A4144"/>
    <w:rsid w:val="008A4530"/>
    <w:rsid w:val="008A4746"/>
    <w:rsid w:val="008A4C76"/>
    <w:rsid w:val="008A4F81"/>
    <w:rsid w:val="008A5314"/>
    <w:rsid w:val="008A5745"/>
    <w:rsid w:val="008A60FF"/>
    <w:rsid w:val="008A6E69"/>
    <w:rsid w:val="008A731F"/>
    <w:rsid w:val="008B0851"/>
    <w:rsid w:val="008B16C3"/>
    <w:rsid w:val="008B1CC4"/>
    <w:rsid w:val="008B392E"/>
    <w:rsid w:val="008B3E23"/>
    <w:rsid w:val="008B4377"/>
    <w:rsid w:val="008B4927"/>
    <w:rsid w:val="008B5219"/>
    <w:rsid w:val="008C20D5"/>
    <w:rsid w:val="008C2183"/>
    <w:rsid w:val="008C3F58"/>
    <w:rsid w:val="008C4304"/>
    <w:rsid w:val="008C4959"/>
    <w:rsid w:val="008C586B"/>
    <w:rsid w:val="008C6A3A"/>
    <w:rsid w:val="008C718C"/>
    <w:rsid w:val="008C7B28"/>
    <w:rsid w:val="008C7CB6"/>
    <w:rsid w:val="008D0B07"/>
    <w:rsid w:val="008D0C89"/>
    <w:rsid w:val="008D2AD6"/>
    <w:rsid w:val="008D2C44"/>
    <w:rsid w:val="008D41C9"/>
    <w:rsid w:val="008D4449"/>
    <w:rsid w:val="008D4FCD"/>
    <w:rsid w:val="008D5EB3"/>
    <w:rsid w:val="008D701D"/>
    <w:rsid w:val="008E0406"/>
    <w:rsid w:val="008E04D6"/>
    <w:rsid w:val="008E08FF"/>
    <w:rsid w:val="008E0AC6"/>
    <w:rsid w:val="008E2533"/>
    <w:rsid w:val="008E2A16"/>
    <w:rsid w:val="008E319E"/>
    <w:rsid w:val="008E334D"/>
    <w:rsid w:val="008E3896"/>
    <w:rsid w:val="008E38F8"/>
    <w:rsid w:val="008E3BFB"/>
    <w:rsid w:val="008E4121"/>
    <w:rsid w:val="008E4610"/>
    <w:rsid w:val="008E47F3"/>
    <w:rsid w:val="008E56D5"/>
    <w:rsid w:val="008E5E24"/>
    <w:rsid w:val="008E64A2"/>
    <w:rsid w:val="008E6BA3"/>
    <w:rsid w:val="008E745B"/>
    <w:rsid w:val="008E74E4"/>
    <w:rsid w:val="008F02CB"/>
    <w:rsid w:val="008F0E85"/>
    <w:rsid w:val="008F1049"/>
    <w:rsid w:val="008F1D6B"/>
    <w:rsid w:val="008F2D99"/>
    <w:rsid w:val="008F2DAB"/>
    <w:rsid w:val="008F314A"/>
    <w:rsid w:val="008F4854"/>
    <w:rsid w:val="008F5C19"/>
    <w:rsid w:val="008F61A4"/>
    <w:rsid w:val="008F6B92"/>
    <w:rsid w:val="008F7373"/>
    <w:rsid w:val="008F747B"/>
    <w:rsid w:val="009000D3"/>
    <w:rsid w:val="0090058B"/>
    <w:rsid w:val="00901994"/>
    <w:rsid w:val="00903B52"/>
    <w:rsid w:val="0090412E"/>
    <w:rsid w:val="00904965"/>
    <w:rsid w:val="00905522"/>
    <w:rsid w:val="00906271"/>
    <w:rsid w:val="00907979"/>
    <w:rsid w:val="00911B82"/>
    <w:rsid w:val="009122A6"/>
    <w:rsid w:val="009124FF"/>
    <w:rsid w:val="00913A0E"/>
    <w:rsid w:val="00913AA4"/>
    <w:rsid w:val="00913F62"/>
    <w:rsid w:val="009148D6"/>
    <w:rsid w:val="00915BD1"/>
    <w:rsid w:val="00915DCC"/>
    <w:rsid w:val="0091681B"/>
    <w:rsid w:val="0091687D"/>
    <w:rsid w:val="009168D7"/>
    <w:rsid w:val="00920198"/>
    <w:rsid w:val="009205ED"/>
    <w:rsid w:val="00920886"/>
    <w:rsid w:val="00921950"/>
    <w:rsid w:val="00922487"/>
    <w:rsid w:val="00922BB0"/>
    <w:rsid w:val="00922C3A"/>
    <w:rsid w:val="00923FAB"/>
    <w:rsid w:val="0092431A"/>
    <w:rsid w:val="00924A84"/>
    <w:rsid w:val="00924E18"/>
    <w:rsid w:val="00925B55"/>
    <w:rsid w:val="009260BF"/>
    <w:rsid w:val="009267DA"/>
    <w:rsid w:val="00926C28"/>
    <w:rsid w:val="00927737"/>
    <w:rsid w:val="00927BF7"/>
    <w:rsid w:val="00930E4D"/>
    <w:rsid w:val="00931449"/>
    <w:rsid w:val="00932852"/>
    <w:rsid w:val="009329F5"/>
    <w:rsid w:val="00933470"/>
    <w:rsid w:val="00934522"/>
    <w:rsid w:val="00935691"/>
    <w:rsid w:val="00935874"/>
    <w:rsid w:val="00935F15"/>
    <w:rsid w:val="00936457"/>
    <w:rsid w:val="00937534"/>
    <w:rsid w:val="0094095B"/>
    <w:rsid w:val="009441B6"/>
    <w:rsid w:val="00944323"/>
    <w:rsid w:val="00944E64"/>
    <w:rsid w:val="00944F19"/>
    <w:rsid w:val="0094577E"/>
    <w:rsid w:val="0094600F"/>
    <w:rsid w:val="009464FB"/>
    <w:rsid w:val="00947479"/>
    <w:rsid w:val="00947BEF"/>
    <w:rsid w:val="009500BB"/>
    <w:rsid w:val="00950DDE"/>
    <w:rsid w:val="009522B4"/>
    <w:rsid w:val="009554DC"/>
    <w:rsid w:val="00956472"/>
    <w:rsid w:val="009565BD"/>
    <w:rsid w:val="00956635"/>
    <w:rsid w:val="009568B6"/>
    <w:rsid w:val="00956DBE"/>
    <w:rsid w:val="009577D1"/>
    <w:rsid w:val="009606E5"/>
    <w:rsid w:val="00960A6A"/>
    <w:rsid w:val="00961010"/>
    <w:rsid w:val="00961805"/>
    <w:rsid w:val="00961A27"/>
    <w:rsid w:val="00961C2E"/>
    <w:rsid w:val="0096223A"/>
    <w:rsid w:val="00962739"/>
    <w:rsid w:val="009635CB"/>
    <w:rsid w:val="0096374C"/>
    <w:rsid w:val="00963B60"/>
    <w:rsid w:val="00963F90"/>
    <w:rsid w:val="00965609"/>
    <w:rsid w:val="00966549"/>
    <w:rsid w:val="009670A7"/>
    <w:rsid w:val="00967734"/>
    <w:rsid w:val="00967F4F"/>
    <w:rsid w:val="009703DD"/>
    <w:rsid w:val="0097046A"/>
    <w:rsid w:val="00970A46"/>
    <w:rsid w:val="00970E33"/>
    <w:rsid w:val="00971ADC"/>
    <w:rsid w:val="00971E36"/>
    <w:rsid w:val="00972986"/>
    <w:rsid w:val="00973F85"/>
    <w:rsid w:val="00974BF4"/>
    <w:rsid w:val="00974D4D"/>
    <w:rsid w:val="00974E22"/>
    <w:rsid w:val="009761BD"/>
    <w:rsid w:val="009762D6"/>
    <w:rsid w:val="009766B5"/>
    <w:rsid w:val="00976F53"/>
    <w:rsid w:val="009778B3"/>
    <w:rsid w:val="00977C1F"/>
    <w:rsid w:val="00980C21"/>
    <w:rsid w:val="009821D3"/>
    <w:rsid w:val="0098261F"/>
    <w:rsid w:val="009831A9"/>
    <w:rsid w:val="00983CAB"/>
    <w:rsid w:val="0098516E"/>
    <w:rsid w:val="00990982"/>
    <w:rsid w:val="00991326"/>
    <w:rsid w:val="00991BE7"/>
    <w:rsid w:val="00992C86"/>
    <w:rsid w:val="00992DBE"/>
    <w:rsid w:val="00995691"/>
    <w:rsid w:val="00995845"/>
    <w:rsid w:val="009A19BB"/>
    <w:rsid w:val="009A27ED"/>
    <w:rsid w:val="009A36F4"/>
    <w:rsid w:val="009A4975"/>
    <w:rsid w:val="009A4B1E"/>
    <w:rsid w:val="009A4B57"/>
    <w:rsid w:val="009A520E"/>
    <w:rsid w:val="009A5380"/>
    <w:rsid w:val="009A53A3"/>
    <w:rsid w:val="009A5E8E"/>
    <w:rsid w:val="009A623A"/>
    <w:rsid w:val="009A6D3D"/>
    <w:rsid w:val="009A6D58"/>
    <w:rsid w:val="009A7327"/>
    <w:rsid w:val="009B03A9"/>
    <w:rsid w:val="009B0421"/>
    <w:rsid w:val="009B2303"/>
    <w:rsid w:val="009B2BF6"/>
    <w:rsid w:val="009B2DF0"/>
    <w:rsid w:val="009B3065"/>
    <w:rsid w:val="009B322D"/>
    <w:rsid w:val="009B397C"/>
    <w:rsid w:val="009B3B73"/>
    <w:rsid w:val="009B3E60"/>
    <w:rsid w:val="009B4B97"/>
    <w:rsid w:val="009B536B"/>
    <w:rsid w:val="009B54A6"/>
    <w:rsid w:val="009B581B"/>
    <w:rsid w:val="009B5AFD"/>
    <w:rsid w:val="009B6A1F"/>
    <w:rsid w:val="009B7708"/>
    <w:rsid w:val="009B7B99"/>
    <w:rsid w:val="009C0D1B"/>
    <w:rsid w:val="009C1FD2"/>
    <w:rsid w:val="009C2CEF"/>
    <w:rsid w:val="009C443B"/>
    <w:rsid w:val="009C4F1A"/>
    <w:rsid w:val="009C5F4D"/>
    <w:rsid w:val="009C61C3"/>
    <w:rsid w:val="009C64D7"/>
    <w:rsid w:val="009C6BC5"/>
    <w:rsid w:val="009C7161"/>
    <w:rsid w:val="009C7716"/>
    <w:rsid w:val="009C78D1"/>
    <w:rsid w:val="009C7B84"/>
    <w:rsid w:val="009C7C04"/>
    <w:rsid w:val="009C7C50"/>
    <w:rsid w:val="009D00C1"/>
    <w:rsid w:val="009D168C"/>
    <w:rsid w:val="009D1ED5"/>
    <w:rsid w:val="009D2C22"/>
    <w:rsid w:val="009D36DD"/>
    <w:rsid w:val="009D3913"/>
    <w:rsid w:val="009D4076"/>
    <w:rsid w:val="009D45C6"/>
    <w:rsid w:val="009D45E2"/>
    <w:rsid w:val="009D4924"/>
    <w:rsid w:val="009D4CDB"/>
    <w:rsid w:val="009D5D1C"/>
    <w:rsid w:val="009D6CA4"/>
    <w:rsid w:val="009D6F33"/>
    <w:rsid w:val="009D6F5E"/>
    <w:rsid w:val="009D7CB5"/>
    <w:rsid w:val="009E1177"/>
    <w:rsid w:val="009E161D"/>
    <w:rsid w:val="009E16C0"/>
    <w:rsid w:val="009E1F06"/>
    <w:rsid w:val="009E21DC"/>
    <w:rsid w:val="009E2434"/>
    <w:rsid w:val="009E294F"/>
    <w:rsid w:val="009E3185"/>
    <w:rsid w:val="009E32E1"/>
    <w:rsid w:val="009E34E0"/>
    <w:rsid w:val="009E3B87"/>
    <w:rsid w:val="009E4166"/>
    <w:rsid w:val="009E429D"/>
    <w:rsid w:val="009E4503"/>
    <w:rsid w:val="009E4C77"/>
    <w:rsid w:val="009E52F9"/>
    <w:rsid w:val="009E5510"/>
    <w:rsid w:val="009E55AE"/>
    <w:rsid w:val="009E6D31"/>
    <w:rsid w:val="009E75E1"/>
    <w:rsid w:val="009E78A0"/>
    <w:rsid w:val="009F0A67"/>
    <w:rsid w:val="009F18F9"/>
    <w:rsid w:val="009F2B71"/>
    <w:rsid w:val="009F2EEF"/>
    <w:rsid w:val="009F341F"/>
    <w:rsid w:val="009F4E6E"/>
    <w:rsid w:val="009F5B4D"/>
    <w:rsid w:val="009F64A7"/>
    <w:rsid w:val="009F67CF"/>
    <w:rsid w:val="009F7BAA"/>
    <w:rsid w:val="009F7CE1"/>
    <w:rsid w:val="009F7D77"/>
    <w:rsid w:val="009F7E89"/>
    <w:rsid w:val="00A0030B"/>
    <w:rsid w:val="00A00A39"/>
    <w:rsid w:val="00A01FA2"/>
    <w:rsid w:val="00A0328D"/>
    <w:rsid w:val="00A032BA"/>
    <w:rsid w:val="00A04229"/>
    <w:rsid w:val="00A04C61"/>
    <w:rsid w:val="00A05D83"/>
    <w:rsid w:val="00A060FE"/>
    <w:rsid w:val="00A0613C"/>
    <w:rsid w:val="00A10B04"/>
    <w:rsid w:val="00A11545"/>
    <w:rsid w:val="00A11A8C"/>
    <w:rsid w:val="00A128D1"/>
    <w:rsid w:val="00A13015"/>
    <w:rsid w:val="00A1312F"/>
    <w:rsid w:val="00A13541"/>
    <w:rsid w:val="00A13574"/>
    <w:rsid w:val="00A138B9"/>
    <w:rsid w:val="00A13CDB"/>
    <w:rsid w:val="00A1619C"/>
    <w:rsid w:val="00A16D3B"/>
    <w:rsid w:val="00A16FEC"/>
    <w:rsid w:val="00A1733C"/>
    <w:rsid w:val="00A1768F"/>
    <w:rsid w:val="00A20323"/>
    <w:rsid w:val="00A20C33"/>
    <w:rsid w:val="00A213DE"/>
    <w:rsid w:val="00A21931"/>
    <w:rsid w:val="00A253F3"/>
    <w:rsid w:val="00A255B5"/>
    <w:rsid w:val="00A25727"/>
    <w:rsid w:val="00A259D4"/>
    <w:rsid w:val="00A263D3"/>
    <w:rsid w:val="00A26691"/>
    <w:rsid w:val="00A277B1"/>
    <w:rsid w:val="00A27BA0"/>
    <w:rsid w:val="00A302BA"/>
    <w:rsid w:val="00A3059B"/>
    <w:rsid w:val="00A30B03"/>
    <w:rsid w:val="00A3179C"/>
    <w:rsid w:val="00A31D41"/>
    <w:rsid w:val="00A326B0"/>
    <w:rsid w:val="00A32AD2"/>
    <w:rsid w:val="00A33450"/>
    <w:rsid w:val="00A33E93"/>
    <w:rsid w:val="00A34769"/>
    <w:rsid w:val="00A34FA2"/>
    <w:rsid w:val="00A350EE"/>
    <w:rsid w:val="00A3623C"/>
    <w:rsid w:val="00A3647B"/>
    <w:rsid w:val="00A404A5"/>
    <w:rsid w:val="00A408BA"/>
    <w:rsid w:val="00A41A12"/>
    <w:rsid w:val="00A41B11"/>
    <w:rsid w:val="00A4378B"/>
    <w:rsid w:val="00A43E78"/>
    <w:rsid w:val="00A4446A"/>
    <w:rsid w:val="00A44AE3"/>
    <w:rsid w:val="00A4536E"/>
    <w:rsid w:val="00A45B66"/>
    <w:rsid w:val="00A45E11"/>
    <w:rsid w:val="00A4635D"/>
    <w:rsid w:val="00A46F93"/>
    <w:rsid w:val="00A46FA0"/>
    <w:rsid w:val="00A4777A"/>
    <w:rsid w:val="00A502B0"/>
    <w:rsid w:val="00A50BC0"/>
    <w:rsid w:val="00A50ED4"/>
    <w:rsid w:val="00A532D1"/>
    <w:rsid w:val="00A53391"/>
    <w:rsid w:val="00A54078"/>
    <w:rsid w:val="00A552AE"/>
    <w:rsid w:val="00A5648D"/>
    <w:rsid w:val="00A56B3A"/>
    <w:rsid w:val="00A57774"/>
    <w:rsid w:val="00A579AE"/>
    <w:rsid w:val="00A57A31"/>
    <w:rsid w:val="00A57FE5"/>
    <w:rsid w:val="00A61C5C"/>
    <w:rsid w:val="00A62EF6"/>
    <w:rsid w:val="00A6350E"/>
    <w:rsid w:val="00A64109"/>
    <w:rsid w:val="00A641C2"/>
    <w:rsid w:val="00A650E8"/>
    <w:rsid w:val="00A65B78"/>
    <w:rsid w:val="00A65BE8"/>
    <w:rsid w:val="00A66544"/>
    <w:rsid w:val="00A666B0"/>
    <w:rsid w:val="00A677C8"/>
    <w:rsid w:val="00A679A2"/>
    <w:rsid w:val="00A67F7F"/>
    <w:rsid w:val="00A703FD"/>
    <w:rsid w:val="00A7090A"/>
    <w:rsid w:val="00A711F2"/>
    <w:rsid w:val="00A7274B"/>
    <w:rsid w:val="00A72CF6"/>
    <w:rsid w:val="00A73374"/>
    <w:rsid w:val="00A74F78"/>
    <w:rsid w:val="00A754CF"/>
    <w:rsid w:val="00A75F7E"/>
    <w:rsid w:val="00A7755A"/>
    <w:rsid w:val="00A77EF0"/>
    <w:rsid w:val="00A808FA"/>
    <w:rsid w:val="00A80B95"/>
    <w:rsid w:val="00A80C6B"/>
    <w:rsid w:val="00A81C1A"/>
    <w:rsid w:val="00A84C69"/>
    <w:rsid w:val="00A85236"/>
    <w:rsid w:val="00A85688"/>
    <w:rsid w:val="00A85D29"/>
    <w:rsid w:val="00A86422"/>
    <w:rsid w:val="00A86526"/>
    <w:rsid w:val="00A901C2"/>
    <w:rsid w:val="00A90514"/>
    <w:rsid w:val="00A9098D"/>
    <w:rsid w:val="00A92263"/>
    <w:rsid w:val="00A92891"/>
    <w:rsid w:val="00A930EA"/>
    <w:rsid w:val="00A94761"/>
    <w:rsid w:val="00A94780"/>
    <w:rsid w:val="00A9481D"/>
    <w:rsid w:val="00A95283"/>
    <w:rsid w:val="00A95A4D"/>
    <w:rsid w:val="00A96856"/>
    <w:rsid w:val="00A96AED"/>
    <w:rsid w:val="00A96BED"/>
    <w:rsid w:val="00A96C66"/>
    <w:rsid w:val="00A96E4C"/>
    <w:rsid w:val="00A97E50"/>
    <w:rsid w:val="00AA0651"/>
    <w:rsid w:val="00AA0A82"/>
    <w:rsid w:val="00AA10E5"/>
    <w:rsid w:val="00AA110B"/>
    <w:rsid w:val="00AA12B1"/>
    <w:rsid w:val="00AA1A03"/>
    <w:rsid w:val="00AA3B17"/>
    <w:rsid w:val="00AA61A5"/>
    <w:rsid w:val="00AA6E2A"/>
    <w:rsid w:val="00AA7AA7"/>
    <w:rsid w:val="00AB0948"/>
    <w:rsid w:val="00AB1275"/>
    <w:rsid w:val="00AB1E3C"/>
    <w:rsid w:val="00AB29ED"/>
    <w:rsid w:val="00AB2DF0"/>
    <w:rsid w:val="00AB375C"/>
    <w:rsid w:val="00AB384D"/>
    <w:rsid w:val="00AB3BDC"/>
    <w:rsid w:val="00AB43FF"/>
    <w:rsid w:val="00AB5D2D"/>
    <w:rsid w:val="00AB6F55"/>
    <w:rsid w:val="00AB7C21"/>
    <w:rsid w:val="00AB7FFA"/>
    <w:rsid w:val="00AC022E"/>
    <w:rsid w:val="00AC072A"/>
    <w:rsid w:val="00AC0C58"/>
    <w:rsid w:val="00AC1523"/>
    <w:rsid w:val="00AC2149"/>
    <w:rsid w:val="00AC2493"/>
    <w:rsid w:val="00AC2727"/>
    <w:rsid w:val="00AC37CD"/>
    <w:rsid w:val="00AC47E3"/>
    <w:rsid w:val="00AC5502"/>
    <w:rsid w:val="00AC598E"/>
    <w:rsid w:val="00AC7436"/>
    <w:rsid w:val="00AC7D4D"/>
    <w:rsid w:val="00AD06F3"/>
    <w:rsid w:val="00AD08CE"/>
    <w:rsid w:val="00AD097A"/>
    <w:rsid w:val="00AD16D7"/>
    <w:rsid w:val="00AD1FBE"/>
    <w:rsid w:val="00AD294B"/>
    <w:rsid w:val="00AD2E5D"/>
    <w:rsid w:val="00AD45FD"/>
    <w:rsid w:val="00AD4B13"/>
    <w:rsid w:val="00AD61C6"/>
    <w:rsid w:val="00AD63E0"/>
    <w:rsid w:val="00AE0AA5"/>
    <w:rsid w:val="00AE0F94"/>
    <w:rsid w:val="00AE188A"/>
    <w:rsid w:val="00AE2618"/>
    <w:rsid w:val="00AE4700"/>
    <w:rsid w:val="00AE47D0"/>
    <w:rsid w:val="00AE51DD"/>
    <w:rsid w:val="00AE5531"/>
    <w:rsid w:val="00AE5DE6"/>
    <w:rsid w:val="00AE64F8"/>
    <w:rsid w:val="00AE67AA"/>
    <w:rsid w:val="00AE6C44"/>
    <w:rsid w:val="00AE7413"/>
    <w:rsid w:val="00AE7FB5"/>
    <w:rsid w:val="00AF025F"/>
    <w:rsid w:val="00AF02AC"/>
    <w:rsid w:val="00AF2152"/>
    <w:rsid w:val="00AF25D4"/>
    <w:rsid w:val="00AF2B39"/>
    <w:rsid w:val="00AF2DC7"/>
    <w:rsid w:val="00AF313C"/>
    <w:rsid w:val="00AF418D"/>
    <w:rsid w:val="00AF42F4"/>
    <w:rsid w:val="00AF450E"/>
    <w:rsid w:val="00AF46EB"/>
    <w:rsid w:val="00AF4FB2"/>
    <w:rsid w:val="00AF5588"/>
    <w:rsid w:val="00AF698B"/>
    <w:rsid w:val="00AF6AA2"/>
    <w:rsid w:val="00AF6FFE"/>
    <w:rsid w:val="00AF74C8"/>
    <w:rsid w:val="00B001ED"/>
    <w:rsid w:val="00B0028C"/>
    <w:rsid w:val="00B00AEE"/>
    <w:rsid w:val="00B012DD"/>
    <w:rsid w:val="00B0148B"/>
    <w:rsid w:val="00B024F8"/>
    <w:rsid w:val="00B029D4"/>
    <w:rsid w:val="00B029D8"/>
    <w:rsid w:val="00B02BF9"/>
    <w:rsid w:val="00B03B6A"/>
    <w:rsid w:val="00B041FC"/>
    <w:rsid w:val="00B04411"/>
    <w:rsid w:val="00B0531A"/>
    <w:rsid w:val="00B06421"/>
    <w:rsid w:val="00B06C46"/>
    <w:rsid w:val="00B07407"/>
    <w:rsid w:val="00B07800"/>
    <w:rsid w:val="00B1090A"/>
    <w:rsid w:val="00B10F55"/>
    <w:rsid w:val="00B1331A"/>
    <w:rsid w:val="00B1352B"/>
    <w:rsid w:val="00B1435D"/>
    <w:rsid w:val="00B158E1"/>
    <w:rsid w:val="00B15CAF"/>
    <w:rsid w:val="00B15D3B"/>
    <w:rsid w:val="00B160B6"/>
    <w:rsid w:val="00B17527"/>
    <w:rsid w:val="00B177B3"/>
    <w:rsid w:val="00B17B07"/>
    <w:rsid w:val="00B17E03"/>
    <w:rsid w:val="00B20B1E"/>
    <w:rsid w:val="00B217CC"/>
    <w:rsid w:val="00B2320A"/>
    <w:rsid w:val="00B23DFF"/>
    <w:rsid w:val="00B246E8"/>
    <w:rsid w:val="00B24E6A"/>
    <w:rsid w:val="00B257BF"/>
    <w:rsid w:val="00B25BF8"/>
    <w:rsid w:val="00B26764"/>
    <w:rsid w:val="00B26FFE"/>
    <w:rsid w:val="00B30DE9"/>
    <w:rsid w:val="00B326B4"/>
    <w:rsid w:val="00B32844"/>
    <w:rsid w:val="00B32B27"/>
    <w:rsid w:val="00B33FA8"/>
    <w:rsid w:val="00B3461C"/>
    <w:rsid w:val="00B3472F"/>
    <w:rsid w:val="00B347D3"/>
    <w:rsid w:val="00B35CF5"/>
    <w:rsid w:val="00B35F8E"/>
    <w:rsid w:val="00B3614B"/>
    <w:rsid w:val="00B36E9D"/>
    <w:rsid w:val="00B401E7"/>
    <w:rsid w:val="00B4052E"/>
    <w:rsid w:val="00B4136A"/>
    <w:rsid w:val="00B418D3"/>
    <w:rsid w:val="00B41B0B"/>
    <w:rsid w:val="00B421B9"/>
    <w:rsid w:val="00B42544"/>
    <w:rsid w:val="00B4580A"/>
    <w:rsid w:val="00B46049"/>
    <w:rsid w:val="00B4679E"/>
    <w:rsid w:val="00B505C9"/>
    <w:rsid w:val="00B50E35"/>
    <w:rsid w:val="00B50E79"/>
    <w:rsid w:val="00B51111"/>
    <w:rsid w:val="00B51D35"/>
    <w:rsid w:val="00B52337"/>
    <w:rsid w:val="00B524AE"/>
    <w:rsid w:val="00B52FFF"/>
    <w:rsid w:val="00B53D43"/>
    <w:rsid w:val="00B54419"/>
    <w:rsid w:val="00B54AB6"/>
    <w:rsid w:val="00B550DA"/>
    <w:rsid w:val="00B55383"/>
    <w:rsid w:val="00B55511"/>
    <w:rsid w:val="00B55F7F"/>
    <w:rsid w:val="00B56B9D"/>
    <w:rsid w:val="00B57A1F"/>
    <w:rsid w:val="00B57AAC"/>
    <w:rsid w:val="00B605A7"/>
    <w:rsid w:val="00B60908"/>
    <w:rsid w:val="00B60A4D"/>
    <w:rsid w:val="00B61789"/>
    <w:rsid w:val="00B6315A"/>
    <w:rsid w:val="00B63690"/>
    <w:rsid w:val="00B63720"/>
    <w:rsid w:val="00B63C37"/>
    <w:rsid w:val="00B643E3"/>
    <w:rsid w:val="00B65097"/>
    <w:rsid w:val="00B65128"/>
    <w:rsid w:val="00B6528F"/>
    <w:rsid w:val="00B654A7"/>
    <w:rsid w:val="00B6566E"/>
    <w:rsid w:val="00B65945"/>
    <w:rsid w:val="00B67E4A"/>
    <w:rsid w:val="00B705FE"/>
    <w:rsid w:val="00B71226"/>
    <w:rsid w:val="00B72175"/>
    <w:rsid w:val="00B72B06"/>
    <w:rsid w:val="00B737AA"/>
    <w:rsid w:val="00B7564D"/>
    <w:rsid w:val="00B7605F"/>
    <w:rsid w:val="00B76151"/>
    <w:rsid w:val="00B77146"/>
    <w:rsid w:val="00B77155"/>
    <w:rsid w:val="00B77261"/>
    <w:rsid w:val="00B773CE"/>
    <w:rsid w:val="00B77570"/>
    <w:rsid w:val="00B81F4D"/>
    <w:rsid w:val="00B8231A"/>
    <w:rsid w:val="00B823FB"/>
    <w:rsid w:val="00B83897"/>
    <w:rsid w:val="00B83B6C"/>
    <w:rsid w:val="00B846B8"/>
    <w:rsid w:val="00B852A1"/>
    <w:rsid w:val="00B8532E"/>
    <w:rsid w:val="00B86AE5"/>
    <w:rsid w:val="00B87EC8"/>
    <w:rsid w:val="00B90145"/>
    <w:rsid w:val="00B91608"/>
    <w:rsid w:val="00B9187C"/>
    <w:rsid w:val="00B9190B"/>
    <w:rsid w:val="00B92D93"/>
    <w:rsid w:val="00B933A0"/>
    <w:rsid w:val="00B935E3"/>
    <w:rsid w:val="00B939BC"/>
    <w:rsid w:val="00B94B6C"/>
    <w:rsid w:val="00B9525D"/>
    <w:rsid w:val="00B95422"/>
    <w:rsid w:val="00B9572E"/>
    <w:rsid w:val="00B95C8F"/>
    <w:rsid w:val="00B95F3A"/>
    <w:rsid w:val="00B96037"/>
    <w:rsid w:val="00B9650A"/>
    <w:rsid w:val="00B974F6"/>
    <w:rsid w:val="00B97739"/>
    <w:rsid w:val="00B97DE2"/>
    <w:rsid w:val="00BA056D"/>
    <w:rsid w:val="00BA0BF0"/>
    <w:rsid w:val="00BA128A"/>
    <w:rsid w:val="00BA1465"/>
    <w:rsid w:val="00BA1A6B"/>
    <w:rsid w:val="00BA235C"/>
    <w:rsid w:val="00BA263A"/>
    <w:rsid w:val="00BA2E19"/>
    <w:rsid w:val="00BA3A03"/>
    <w:rsid w:val="00BA43E5"/>
    <w:rsid w:val="00BA5079"/>
    <w:rsid w:val="00BA51FA"/>
    <w:rsid w:val="00BA528B"/>
    <w:rsid w:val="00BA659A"/>
    <w:rsid w:val="00BA6782"/>
    <w:rsid w:val="00BA75D6"/>
    <w:rsid w:val="00BA7F95"/>
    <w:rsid w:val="00BB0851"/>
    <w:rsid w:val="00BB1284"/>
    <w:rsid w:val="00BB1B1A"/>
    <w:rsid w:val="00BB1CA3"/>
    <w:rsid w:val="00BB2057"/>
    <w:rsid w:val="00BB2276"/>
    <w:rsid w:val="00BB4410"/>
    <w:rsid w:val="00BB47D6"/>
    <w:rsid w:val="00BB5201"/>
    <w:rsid w:val="00BB5F8A"/>
    <w:rsid w:val="00BB6A23"/>
    <w:rsid w:val="00BB6FDB"/>
    <w:rsid w:val="00BB7401"/>
    <w:rsid w:val="00BB7950"/>
    <w:rsid w:val="00BC0058"/>
    <w:rsid w:val="00BC0248"/>
    <w:rsid w:val="00BC05CF"/>
    <w:rsid w:val="00BC081F"/>
    <w:rsid w:val="00BC0BA7"/>
    <w:rsid w:val="00BC141F"/>
    <w:rsid w:val="00BC16DE"/>
    <w:rsid w:val="00BC1AEF"/>
    <w:rsid w:val="00BC1B4A"/>
    <w:rsid w:val="00BC209B"/>
    <w:rsid w:val="00BC2550"/>
    <w:rsid w:val="00BC2B14"/>
    <w:rsid w:val="00BC2E14"/>
    <w:rsid w:val="00BC3662"/>
    <w:rsid w:val="00BC50E0"/>
    <w:rsid w:val="00BC538A"/>
    <w:rsid w:val="00BC59D4"/>
    <w:rsid w:val="00BC6A3A"/>
    <w:rsid w:val="00BC6E6D"/>
    <w:rsid w:val="00BC7026"/>
    <w:rsid w:val="00BC785C"/>
    <w:rsid w:val="00BD165C"/>
    <w:rsid w:val="00BD1786"/>
    <w:rsid w:val="00BD24CA"/>
    <w:rsid w:val="00BD28BC"/>
    <w:rsid w:val="00BD32B5"/>
    <w:rsid w:val="00BD4E58"/>
    <w:rsid w:val="00BD5B5B"/>
    <w:rsid w:val="00BD5C48"/>
    <w:rsid w:val="00BD619C"/>
    <w:rsid w:val="00BD72EA"/>
    <w:rsid w:val="00BD77ED"/>
    <w:rsid w:val="00BE0562"/>
    <w:rsid w:val="00BE09EA"/>
    <w:rsid w:val="00BE147C"/>
    <w:rsid w:val="00BE21A6"/>
    <w:rsid w:val="00BE2217"/>
    <w:rsid w:val="00BE2337"/>
    <w:rsid w:val="00BE29F1"/>
    <w:rsid w:val="00BE382E"/>
    <w:rsid w:val="00BE4255"/>
    <w:rsid w:val="00BE49D2"/>
    <w:rsid w:val="00BE56B4"/>
    <w:rsid w:val="00BE61A7"/>
    <w:rsid w:val="00BE72FC"/>
    <w:rsid w:val="00BE74A1"/>
    <w:rsid w:val="00BE74F2"/>
    <w:rsid w:val="00BE7756"/>
    <w:rsid w:val="00BE789A"/>
    <w:rsid w:val="00BE7B88"/>
    <w:rsid w:val="00BF135C"/>
    <w:rsid w:val="00BF2450"/>
    <w:rsid w:val="00BF2A9A"/>
    <w:rsid w:val="00BF5326"/>
    <w:rsid w:val="00BF54B1"/>
    <w:rsid w:val="00BF550A"/>
    <w:rsid w:val="00BF5699"/>
    <w:rsid w:val="00BF5B8F"/>
    <w:rsid w:val="00BF736F"/>
    <w:rsid w:val="00BF7BD7"/>
    <w:rsid w:val="00C011E7"/>
    <w:rsid w:val="00C01352"/>
    <w:rsid w:val="00C01790"/>
    <w:rsid w:val="00C03471"/>
    <w:rsid w:val="00C038A4"/>
    <w:rsid w:val="00C04A2A"/>
    <w:rsid w:val="00C05418"/>
    <w:rsid w:val="00C05A28"/>
    <w:rsid w:val="00C05A7C"/>
    <w:rsid w:val="00C05D2F"/>
    <w:rsid w:val="00C07159"/>
    <w:rsid w:val="00C07D3F"/>
    <w:rsid w:val="00C10F05"/>
    <w:rsid w:val="00C11096"/>
    <w:rsid w:val="00C11741"/>
    <w:rsid w:val="00C11BCE"/>
    <w:rsid w:val="00C13277"/>
    <w:rsid w:val="00C13B2D"/>
    <w:rsid w:val="00C14190"/>
    <w:rsid w:val="00C14221"/>
    <w:rsid w:val="00C16EA6"/>
    <w:rsid w:val="00C16F73"/>
    <w:rsid w:val="00C17150"/>
    <w:rsid w:val="00C17152"/>
    <w:rsid w:val="00C176BF"/>
    <w:rsid w:val="00C17A45"/>
    <w:rsid w:val="00C17AFE"/>
    <w:rsid w:val="00C17F44"/>
    <w:rsid w:val="00C20003"/>
    <w:rsid w:val="00C202D4"/>
    <w:rsid w:val="00C2127E"/>
    <w:rsid w:val="00C21376"/>
    <w:rsid w:val="00C21575"/>
    <w:rsid w:val="00C2197D"/>
    <w:rsid w:val="00C21CD7"/>
    <w:rsid w:val="00C21E4A"/>
    <w:rsid w:val="00C23C91"/>
    <w:rsid w:val="00C24B38"/>
    <w:rsid w:val="00C25301"/>
    <w:rsid w:val="00C25D3B"/>
    <w:rsid w:val="00C260C1"/>
    <w:rsid w:val="00C2752B"/>
    <w:rsid w:val="00C27A44"/>
    <w:rsid w:val="00C27C8D"/>
    <w:rsid w:val="00C307FE"/>
    <w:rsid w:val="00C31D40"/>
    <w:rsid w:val="00C320ED"/>
    <w:rsid w:val="00C335E8"/>
    <w:rsid w:val="00C33BD7"/>
    <w:rsid w:val="00C34306"/>
    <w:rsid w:val="00C3462B"/>
    <w:rsid w:val="00C346A0"/>
    <w:rsid w:val="00C34B71"/>
    <w:rsid w:val="00C35322"/>
    <w:rsid w:val="00C359BA"/>
    <w:rsid w:val="00C36A27"/>
    <w:rsid w:val="00C4006F"/>
    <w:rsid w:val="00C400BA"/>
    <w:rsid w:val="00C4025B"/>
    <w:rsid w:val="00C4026E"/>
    <w:rsid w:val="00C40BB1"/>
    <w:rsid w:val="00C40BC7"/>
    <w:rsid w:val="00C411D9"/>
    <w:rsid w:val="00C419C0"/>
    <w:rsid w:val="00C41EE1"/>
    <w:rsid w:val="00C42776"/>
    <w:rsid w:val="00C42F06"/>
    <w:rsid w:val="00C44A3B"/>
    <w:rsid w:val="00C4584A"/>
    <w:rsid w:val="00C45B62"/>
    <w:rsid w:val="00C45E0A"/>
    <w:rsid w:val="00C46850"/>
    <w:rsid w:val="00C46C51"/>
    <w:rsid w:val="00C4706F"/>
    <w:rsid w:val="00C50A90"/>
    <w:rsid w:val="00C50DAE"/>
    <w:rsid w:val="00C51858"/>
    <w:rsid w:val="00C51E99"/>
    <w:rsid w:val="00C5424F"/>
    <w:rsid w:val="00C54DBB"/>
    <w:rsid w:val="00C551E5"/>
    <w:rsid w:val="00C55CBC"/>
    <w:rsid w:val="00C5639F"/>
    <w:rsid w:val="00C56B3B"/>
    <w:rsid w:val="00C57448"/>
    <w:rsid w:val="00C57B0F"/>
    <w:rsid w:val="00C57D45"/>
    <w:rsid w:val="00C6081B"/>
    <w:rsid w:val="00C61469"/>
    <w:rsid w:val="00C63A08"/>
    <w:rsid w:val="00C6431B"/>
    <w:rsid w:val="00C656DC"/>
    <w:rsid w:val="00C66768"/>
    <w:rsid w:val="00C66E10"/>
    <w:rsid w:val="00C66E47"/>
    <w:rsid w:val="00C67540"/>
    <w:rsid w:val="00C67A59"/>
    <w:rsid w:val="00C67B0F"/>
    <w:rsid w:val="00C7042D"/>
    <w:rsid w:val="00C70F8D"/>
    <w:rsid w:val="00C7180B"/>
    <w:rsid w:val="00C718BD"/>
    <w:rsid w:val="00C72172"/>
    <w:rsid w:val="00C72A27"/>
    <w:rsid w:val="00C72EAA"/>
    <w:rsid w:val="00C7338F"/>
    <w:rsid w:val="00C7345F"/>
    <w:rsid w:val="00C739B1"/>
    <w:rsid w:val="00C73A5F"/>
    <w:rsid w:val="00C750F6"/>
    <w:rsid w:val="00C75295"/>
    <w:rsid w:val="00C764BF"/>
    <w:rsid w:val="00C7660A"/>
    <w:rsid w:val="00C77B56"/>
    <w:rsid w:val="00C77ECD"/>
    <w:rsid w:val="00C80BC5"/>
    <w:rsid w:val="00C810C4"/>
    <w:rsid w:val="00C81246"/>
    <w:rsid w:val="00C820D1"/>
    <w:rsid w:val="00C82237"/>
    <w:rsid w:val="00C829DB"/>
    <w:rsid w:val="00C8382E"/>
    <w:rsid w:val="00C841C2"/>
    <w:rsid w:val="00C84A83"/>
    <w:rsid w:val="00C860F6"/>
    <w:rsid w:val="00C875A3"/>
    <w:rsid w:val="00C87B89"/>
    <w:rsid w:val="00C90D4B"/>
    <w:rsid w:val="00C91C40"/>
    <w:rsid w:val="00C91D38"/>
    <w:rsid w:val="00C922E0"/>
    <w:rsid w:val="00C92E14"/>
    <w:rsid w:val="00C92E5D"/>
    <w:rsid w:val="00C93768"/>
    <w:rsid w:val="00C939B4"/>
    <w:rsid w:val="00C94F86"/>
    <w:rsid w:val="00C95AB3"/>
    <w:rsid w:val="00C965EB"/>
    <w:rsid w:val="00C97179"/>
    <w:rsid w:val="00C9774A"/>
    <w:rsid w:val="00CA042B"/>
    <w:rsid w:val="00CA1261"/>
    <w:rsid w:val="00CA143A"/>
    <w:rsid w:val="00CA1519"/>
    <w:rsid w:val="00CA22A5"/>
    <w:rsid w:val="00CA391E"/>
    <w:rsid w:val="00CA413A"/>
    <w:rsid w:val="00CA4514"/>
    <w:rsid w:val="00CA477F"/>
    <w:rsid w:val="00CA5035"/>
    <w:rsid w:val="00CA6288"/>
    <w:rsid w:val="00CA6C89"/>
    <w:rsid w:val="00CA6E91"/>
    <w:rsid w:val="00CA7361"/>
    <w:rsid w:val="00CB04FA"/>
    <w:rsid w:val="00CB1F29"/>
    <w:rsid w:val="00CB258B"/>
    <w:rsid w:val="00CB2717"/>
    <w:rsid w:val="00CB2E2E"/>
    <w:rsid w:val="00CB372A"/>
    <w:rsid w:val="00CB4D22"/>
    <w:rsid w:val="00CB5D6E"/>
    <w:rsid w:val="00CB618A"/>
    <w:rsid w:val="00CB6698"/>
    <w:rsid w:val="00CB67D5"/>
    <w:rsid w:val="00CB688F"/>
    <w:rsid w:val="00CB6A63"/>
    <w:rsid w:val="00CB6B71"/>
    <w:rsid w:val="00CB6DCE"/>
    <w:rsid w:val="00CB6E75"/>
    <w:rsid w:val="00CB7010"/>
    <w:rsid w:val="00CB7489"/>
    <w:rsid w:val="00CC0553"/>
    <w:rsid w:val="00CC08C5"/>
    <w:rsid w:val="00CC09A6"/>
    <w:rsid w:val="00CC0C83"/>
    <w:rsid w:val="00CC0CF4"/>
    <w:rsid w:val="00CC0D61"/>
    <w:rsid w:val="00CC18EF"/>
    <w:rsid w:val="00CC2608"/>
    <w:rsid w:val="00CC2612"/>
    <w:rsid w:val="00CC284F"/>
    <w:rsid w:val="00CC2A48"/>
    <w:rsid w:val="00CC2D4C"/>
    <w:rsid w:val="00CC2E0A"/>
    <w:rsid w:val="00CC3F52"/>
    <w:rsid w:val="00CC5556"/>
    <w:rsid w:val="00CC6134"/>
    <w:rsid w:val="00CC71CF"/>
    <w:rsid w:val="00CC7A09"/>
    <w:rsid w:val="00CD02B4"/>
    <w:rsid w:val="00CD0677"/>
    <w:rsid w:val="00CD1B10"/>
    <w:rsid w:val="00CD23F5"/>
    <w:rsid w:val="00CD2F43"/>
    <w:rsid w:val="00CD3401"/>
    <w:rsid w:val="00CD38B8"/>
    <w:rsid w:val="00CD4D6C"/>
    <w:rsid w:val="00CD51FA"/>
    <w:rsid w:val="00CD5ACC"/>
    <w:rsid w:val="00CD6088"/>
    <w:rsid w:val="00CD6D93"/>
    <w:rsid w:val="00CD7436"/>
    <w:rsid w:val="00CD74FC"/>
    <w:rsid w:val="00CD75A0"/>
    <w:rsid w:val="00CD7CB7"/>
    <w:rsid w:val="00CE0447"/>
    <w:rsid w:val="00CE1E50"/>
    <w:rsid w:val="00CE21CB"/>
    <w:rsid w:val="00CE3395"/>
    <w:rsid w:val="00CE34B0"/>
    <w:rsid w:val="00CE3F3F"/>
    <w:rsid w:val="00CE3F9B"/>
    <w:rsid w:val="00CE63F1"/>
    <w:rsid w:val="00CE71EE"/>
    <w:rsid w:val="00CE722A"/>
    <w:rsid w:val="00CE7820"/>
    <w:rsid w:val="00CF13E7"/>
    <w:rsid w:val="00CF1823"/>
    <w:rsid w:val="00CF335C"/>
    <w:rsid w:val="00CF3850"/>
    <w:rsid w:val="00CF4D1C"/>
    <w:rsid w:val="00CF5000"/>
    <w:rsid w:val="00CF52DF"/>
    <w:rsid w:val="00CF5973"/>
    <w:rsid w:val="00CF6187"/>
    <w:rsid w:val="00CF6434"/>
    <w:rsid w:val="00CF6B94"/>
    <w:rsid w:val="00CF7A99"/>
    <w:rsid w:val="00CF7DA3"/>
    <w:rsid w:val="00D00DD0"/>
    <w:rsid w:val="00D01075"/>
    <w:rsid w:val="00D015AC"/>
    <w:rsid w:val="00D02FB8"/>
    <w:rsid w:val="00D02FCE"/>
    <w:rsid w:val="00D043CF"/>
    <w:rsid w:val="00D04403"/>
    <w:rsid w:val="00D04A63"/>
    <w:rsid w:val="00D06136"/>
    <w:rsid w:val="00D06C87"/>
    <w:rsid w:val="00D118D9"/>
    <w:rsid w:val="00D11C9B"/>
    <w:rsid w:val="00D127F1"/>
    <w:rsid w:val="00D12E2F"/>
    <w:rsid w:val="00D143F9"/>
    <w:rsid w:val="00D14537"/>
    <w:rsid w:val="00D1506B"/>
    <w:rsid w:val="00D154B7"/>
    <w:rsid w:val="00D158A2"/>
    <w:rsid w:val="00D16743"/>
    <w:rsid w:val="00D16DA2"/>
    <w:rsid w:val="00D17A1A"/>
    <w:rsid w:val="00D17BEA"/>
    <w:rsid w:val="00D17D06"/>
    <w:rsid w:val="00D20899"/>
    <w:rsid w:val="00D21368"/>
    <w:rsid w:val="00D22098"/>
    <w:rsid w:val="00D226B7"/>
    <w:rsid w:val="00D2273D"/>
    <w:rsid w:val="00D22DC7"/>
    <w:rsid w:val="00D24AAF"/>
    <w:rsid w:val="00D24BAA"/>
    <w:rsid w:val="00D24E99"/>
    <w:rsid w:val="00D2504D"/>
    <w:rsid w:val="00D25DE2"/>
    <w:rsid w:val="00D26F96"/>
    <w:rsid w:val="00D30692"/>
    <w:rsid w:val="00D307D4"/>
    <w:rsid w:val="00D30E98"/>
    <w:rsid w:val="00D310DE"/>
    <w:rsid w:val="00D31E01"/>
    <w:rsid w:val="00D3383C"/>
    <w:rsid w:val="00D348E1"/>
    <w:rsid w:val="00D34BB2"/>
    <w:rsid w:val="00D34DF6"/>
    <w:rsid w:val="00D3634B"/>
    <w:rsid w:val="00D363EB"/>
    <w:rsid w:val="00D37B13"/>
    <w:rsid w:val="00D37C63"/>
    <w:rsid w:val="00D37D2E"/>
    <w:rsid w:val="00D402C2"/>
    <w:rsid w:val="00D40B95"/>
    <w:rsid w:val="00D40D7B"/>
    <w:rsid w:val="00D4150F"/>
    <w:rsid w:val="00D41607"/>
    <w:rsid w:val="00D416A6"/>
    <w:rsid w:val="00D41797"/>
    <w:rsid w:val="00D4291C"/>
    <w:rsid w:val="00D42A46"/>
    <w:rsid w:val="00D43653"/>
    <w:rsid w:val="00D43F7C"/>
    <w:rsid w:val="00D4464D"/>
    <w:rsid w:val="00D44D54"/>
    <w:rsid w:val="00D46A34"/>
    <w:rsid w:val="00D46CEE"/>
    <w:rsid w:val="00D46D07"/>
    <w:rsid w:val="00D474F2"/>
    <w:rsid w:val="00D504CF"/>
    <w:rsid w:val="00D50A83"/>
    <w:rsid w:val="00D50BEC"/>
    <w:rsid w:val="00D50D49"/>
    <w:rsid w:val="00D51548"/>
    <w:rsid w:val="00D51623"/>
    <w:rsid w:val="00D519A3"/>
    <w:rsid w:val="00D52095"/>
    <w:rsid w:val="00D52721"/>
    <w:rsid w:val="00D52F91"/>
    <w:rsid w:val="00D530B5"/>
    <w:rsid w:val="00D53499"/>
    <w:rsid w:val="00D5433D"/>
    <w:rsid w:val="00D55210"/>
    <w:rsid w:val="00D57451"/>
    <w:rsid w:val="00D5770C"/>
    <w:rsid w:val="00D57B1C"/>
    <w:rsid w:val="00D60749"/>
    <w:rsid w:val="00D61098"/>
    <w:rsid w:val="00D61E11"/>
    <w:rsid w:val="00D62820"/>
    <w:rsid w:val="00D62E82"/>
    <w:rsid w:val="00D63810"/>
    <w:rsid w:val="00D63826"/>
    <w:rsid w:val="00D6427C"/>
    <w:rsid w:val="00D64A0B"/>
    <w:rsid w:val="00D64B2E"/>
    <w:rsid w:val="00D661B6"/>
    <w:rsid w:val="00D6758F"/>
    <w:rsid w:val="00D67CE6"/>
    <w:rsid w:val="00D711AD"/>
    <w:rsid w:val="00D71404"/>
    <w:rsid w:val="00D71476"/>
    <w:rsid w:val="00D72856"/>
    <w:rsid w:val="00D7291B"/>
    <w:rsid w:val="00D7361C"/>
    <w:rsid w:val="00D736D7"/>
    <w:rsid w:val="00D73D61"/>
    <w:rsid w:val="00D751C9"/>
    <w:rsid w:val="00D75CFF"/>
    <w:rsid w:val="00D76C8F"/>
    <w:rsid w:val="00D76DC3"/>
    <w:rsid w:val="00D76F97"/>
    <w:rsid w:val="00D775A9"/>
    <w:rsid w:val="00D80479"/>
    <w:rsid w:val="00D8072B"/>
    <w:rsid w:val="00D80A00"/>
    <w:rsid w:val="00D80A94"/>
    <w:rsid w:val="00D80E6B"/>
    <w:rsid w:val="00D80F54"/>
    <w:rsid w:val="00D82D51"/>
    <w:rsid w:val="00D83071"/>
    <w:rsid w:val="00D838A1"/>
    <w:rsid w:val="00D84557"/>
    <w:rsid w:val="00D85079"/>
    <w:rsid w:val="00D855AB"/>
    <w:rsid w:val="00D85A18"/>
    <w:rsid w:val="00D85F4C"/>
    <w:rsid w:val="00D86768"/>
    <w:rsid w:val="00D86F40"/>
    <w:rsid w:val="00D87729"/>
    <w:rsid w:val="00D878E0"/>
    <w:rsid w:val="00D87C7E"/>
    <w:rsid w:val="00D87CFE"/>
    <w:rsid w:val="00D90425"/>
    <w:rsid w:val="00D90DC7"/>
    <w:rsid w:val="00D92551"/>
    <w:rsid w:val="00D9268E"/>
    <w:rsid w:val="00D92935"/>
    <w:rsid w:val="00D930D4"/>
    <w:rsid w:val="00D93C06"/>
    <w:rsid w:val="00D93FAF"/>
    <w:rsid w:val="00D94698"/>
    <w:rsid w:val="00D94C3A"/>
    <w:rsid w:val="00D950D7"/>
    <w:rsid w:val="00D95149"/>
    <w:rsid w:val="00D9527A"/>
    <w:rsid w:val="00D95BAA"/>
    <w:rsid w:val="00D96493"/>
    <w:rsid w:val="00D97E0B"/>
    <w:rsid w:val="00DA09E8"/>
    <w:rsid w:val="00DA1CC2"/>
    <w:rsid w:val="00DA2BD6"/>
    <w:rsid w:val="00DA35CF"/>
    <w:rsid w:val="00DA387C"/>
    <w:rsid w:val="00DA400D"/>
    <w:rsid w:val="00DA4996"/>
    <w:rsid w:val="00DA4E87"/>
    <w:rsid w:val="00DA5EAC"/>
    <w:rsid w:val="00DA7852"/>
    <w:rsid w:val="00DB074C"/>
    <w:rsid w:val="00DB32D0"/>
    <w:rsid w:val="00DB47D2"/>
    <w:rsid w:val="00DB5636"/>
    <w:rsid w:val="00DB66FF"/>
    <w:rsid w:val="00DB692C"/>
    <w:rsid w:val="00DB6F8A"/>
    <w:rsid w:val="00DB715F"/>
    <w:rsid w:val="00DB7185"/>
    <w:rsid w:val="00DB78F8"/>
    <w:rsid w:val="00DC009A"/>
    <w:rsid w:val="00DC00CC"/>
    <w:rsid w:val="00DC0C8B"/>
    <w:rsid w:val="00DC11DF"/>
    <w:rsid w:val="00DC2650"/>
    <w:rsid w:val="00DC27C5"/>
    <w:rsid w:val="00DC358F"/>
    <w:rsid w:val="00DC3A05"/>
    <w:rsid w:val="00DC3D84"/>
    <w:rsid w:val="00DC4FA3"/>
    <w:rsid w:val="00DC671C"/>
    <w:rsid w:val="00DC6991"/>
    <w:rsid w:val="00DC7D7B"/>
    <w:rsid w:val="00DD0CA1"/>
    <w:rsid w:val="00DD1A4B"/>
    <w:rsid w:val="00DD1B21"/>
    <w:rsid w:val="00DD1D4E"/>
    <w:rsid w:val="00DD217F"/>
    <w:rsid w:val="00DD23B8"/>
    <w:rsid w:val="00DD2E90"/>
    <w:rsid w:val="00DD31D9"/>
    <w:rsid w:val="00DD52A9"/>
    <w:rsid w:val="00DD568B"/>
    <w:rsid w:val="00DD5693"/>
    <w:rsid w:val="00DD6881"/>
    <w:rsid w:val="00DD760E"/>
    <w:rsid w:val="00DD7807"/>
    <w:rsid w:val="00DE0671"/>
    <w:rsid w:val="00DE0A40"/>
    <w:rsid w:val="00DE0DB9"/>
    <w:rsid w:val="00DE128B"/>
    <w:rsid w:val="00DE26BE"/>
    <w:rsid w:val="00DE2CA7"/>
    <w:rsid w:val="00DE4F54"/>
    <w:rsid w:val="00DE5C20"/>
    <w:rsid w:val="00DE5C8D"/>
    <w:rsid w:val="00DE5EF1"/>
    <w:rsid w:val="00DE6949"/>
    <w:rsid w:val="00DE6B67"/>
    <w:rsid w:val="00DE71C1"/>
    <w:rsid w:val="00DE724A"/>
    <w:rsid w:val="00DE744C"/>
    <w:rsid w:val="00DE753E"/>
    <w:rsid w:val="00DE77FB"/>
    <w:rsid w:val="00DE7BB5"/>
    <w:rsid w:val="00DF08DF"/>
    <w:rsid w:val="00DF0967"/>
    <w:rsid w:val="00DF0DB9"/>
    <w:rsid w:val="00DF0E50"/>
    <w:rsid w:val="00DF2152"/>
    <w:rsid w:val="00DF2E19"/>
    <w:rsid w:val="00DF3B0C"/>
    <w:rsid w:val="00DF4BAA"/>
    <w:rsid w:val="00DF5C7D"/>
    <w:rsid w:val="00DF5D1D"/>
    <w:rsid w:val="00DF6061"/>
    <w:rsid w:val="00DF6D4A"/>
    <w:rsid w:val="00E00D80"/>
    <w:rsid w:val="00E01B64"/>
    <w:rsid w:val="00E021B9"/>
    <w:rsid w:val="00E026D1"/>
    <w:rsid w:val="00E0359A"/>
    <w:rsid w:val="00E04291"/>
    <w:rsid w:val="00E0484C"/>
    <w:rsid w:val="00E055D8"/>
    <w:rsid w:val="00E06C1D"/>
    <w:rsid w:val="00E07B45"/>
    <w:rsid w:val="00E103B9"/>
    <w:rsid w:val="00E10958"/>
    <w:rsid w:val="00E12E49"/>
    <w:rsid w:val="00E12FEC"/>
    <w:rsid w:val="00E1315E"/>
    <w:rsid w:val="00E14374"/>
    <w:rsid w:val="00E15C9E"/>
    <w:rsid w:val="00E15F55"/>
    <w:rsid w:val="00E17E9D"/>
    <w:rsid w:val="00E207BB"/>
    <w:rsid w:val="00E20DEA"/>
    <w:rsid w:val="00E21BD1"/>
    <w:rsid w:val="00E220A8"/>
    <w:rsid w:val="00E22593"/>
    <w:rsid w:val="00E22FBA"/>
    <w:rsid w:val="00E2309A"/>
    <w:rsid w:val="00E23148"/>
    <w:rsid w:val="00E238E1"/>
    <w:rsid w:val="00E23C05"/>
    <w:rsid w:val="00E24E46"/>
    <w:rsid w:val="00E2525D"/>
    <w:rsid w:val="00E2586E"/>
    <w:rsid w:val="00E25F09"/>
    <w:rsid w:val="00E307BC"/>
    <w:rsid w:val="00E3094F"/>
    <w:rsid w:val="00E30E52"/>
    <w:rsid w:val="00E31556"/>
    <w:rsid w:val="00E31F83"/>
    <w:rsid w:val="00E31FF7"/>
    <w:rsid w:val="00E322B1"/>
    <w:rsid w:val="00E34B21"/>
    <w:rsid w:val="00E34B67"/>
    <w:rsid w:val="00E35522"/>
    <w:rsid w:val="00E35D95"/>
    <w:rsid w:val="00E36C1A"/>
    <w:rsid w:val="00E36F09"/>
    <w:rsid w:val="00E36F23"/>
    <w:rsid w:val="00E422BE"/>
    <w:rsid w:val="00E42A3B"/>
    <w:rsid w:val="00E42E8B"/>
    <w:rsid w:val="00E43487"/>
    <w:rsid w:val="00E43672"/>
    <w:rsid w:val="00E43CF5"/>
    <w:rsid w:val="00E43F36"/>
    <w:rsid w:val="00E442D0"/>
    <w:rsid w:val="00E445E7"/>
    <w:rsid w:val="00E453D6"/>
    <w:rsid w:val="00E45881"/>
    <w:rsid w:val="00E45F77"/>
    <w:rsid w:val="00E46583"/>
    <w:rsid w:val="00E4660D"/>
    <w:rsid w:val="00E47516"/>
    <w:rsid w:val="00E50DBA"/>
    <w:rsid w:val="00E52160"/>
    <w:rsid w:val="00E523A1"/>
    <w:rsid w:val="00E528B9"/>
    <w:rsid w:val="00E53AD0"/>
    <w:rsid w:val="00E544BF"/>
    <w:rsid w:val="00E54A76"/>
    <w:rsid w:val="00E54EE5"/>
    <w:rsid w:val="00E55676"/>
    <w:rsid w:val="00E55C40"/>
    <w:rsid w:val="00E56743"/>
    <w:rsid w:val="00E56866"/>
    <w:rsid w:val="00E575C2"/>
    <w:rsid w:val="00E57CB7"/>
    <w:rsid w:val="00E57EFB"/>
    <w:rsid w:val="00E60093"/>
    <w:rsid w:val="00E600AD"/>
    <w:rsid w:val="00E603FB"/>
    <w:rsid w:val="00E613BF"/>
    <w:rsid w:val="00E62888"/>
    <w:rsid w:val="00E65411"/>
    <w:rsid w:val="00E65E70"/>
    <w:rsid w:val="00E66DDB"/>
    <w:rsid w:val="00E6747E"/>
    <w:rsid w:val="00E71862"/>
    <w:rsid w:val="00E7309C"/>
    <w:rsid w:val="00E738B0"/>
    <w:rsid w:val="00E73CCA"/>
    <w:rsid w:val="00E73DD3"/>
    <w:rsid w:val="00E7474E"/>
    <w:rsid w:val="00E755AA"/>
    <w:rsid w:val="00E75C44"/>
    <w:rsid w:val="00E7772C"/>
    <w:rsid w:val="00E77782"/>
    <w:rsid w:val="00E77CAB"/>
    <w:rsid w:val="00E80C41"/>
    <w:rsid w:val="00E81763"/>
    <w:rsid w:val="00E81D8A"/>
    <w:rsid w:val="00E81FF5"/>
    <w:rsid w:val="00E8295B"/>
    <w:rsid w:val="00E83067"/>
    <w:rsid w:val="00E833A7"/>
    <w:rsid w:val="00E83EEE"/>
    <w:rsid w:val="00E86D2D"/>
    <w:rsid w:val="00E90204"/>
    <w:rsid w:val="00E910B8"/>
    <w:rsid w:val="00E910CB"/>
    <w:rsid w:val="00E913B6"/>
    <w:rsid w:val="00E9159B"/>
    <w:rsid w:val="00E92540"/>
    <w:rsid w:val="00E929D3"/>
    <w:rsid w:val="00E92D7A"/>
    <w:rsid w:val="00E92FB1"/>
    <w:rsid w:val="00E94027"/>
    <w:rsid w:val="00E94708"/>
    <w:rsid w:val="00E95619"/>
    <w:rsid w:val="00E95C57"/>
    <w:rsid w:val="00E95DC9"/>
    <w:rsid w:val="00E9652C"/>
    <w:rsid w:val="00E967BE"/>
    <w:rsid w:val="00EA0DE7"/>
    <w:rsid w:val="00EA1422"/>
    <w:rsid w:val="00EA20DE"/>
    <w:rsid w:val="00EA23A6"/>
    <w:rsid w:val="00EA2B7F"/>
    <w:rsid w:val="00EA2CC3"/>
    <w:rsid w:val="00EA33A7"/>
    <w:rsid w:val="00EA33FC"/>
    <w:rsid w:val="00EA3549"/>
    <w:rsid w:val="00EA3905"/>
    <w:rsid w:val="00EA421E"/>
    <w:rsid w:val="00EA4A0A"/>
    <w:rsid w:val="00EA4C9A"/>
    <w:rsid w:val="00EA52E1"/>
    <w:rsid w:val="00EA560A"/>
    <w:rsid w:val="00EA5935"/>
    <w:rsid w:val="00EA5A97"/>
    <w:rsid w:val="00EA5C30"/>
    <w:rsid w:val="00EA5F57"/>
    <w:rsid w:val="00EA6F12"/>
    <w:rsid w:val="00EA71C2"/>
    <w:rsid w:val="00EA7DAE"/>
    <w:rsid w:val="00EB0527"/>
    <w:rsid w:val="00EB05E9"/>
    <w:rsid w:val="00EB0784"/>
    <w:rsid w:val="00EB0A18"/>
    <w:rsid w:val="00EB0D71"/>
    <w:rsid w:val="00EB0DAB"/>
    <w:rsid w:val="00EB1FF4"/>
    <w:rsid w:val="00EB27CE"/>
    <w:rsid w:val="00EB29FA"/>
    <w:rsid w:val="00EB2D7D"/>
    <w:rsid w:val="00EB3AC2"/>
    <w:rsid w:val="00EB5AE8"/>
    <w:rsid w:val="00EB5E1A"/>
    <w:rsid w:val="00EC1476"/>
    <w:rsid w:val="00EC1603"/>
    <w:rsid w:val="00EC23E7"/>
    <w:rsid w:val="00EC25FA"/>
    <w:rsid w:val="00EC31C0"/>
    <w:rsid w:val="00EC3F84"/>
    <w:rsid w:val="00EC40CE"/>
    <w:rsid w:val="00EC4B45"/>
    <w:rsid w:val="00EC4BE7"/>
    <w:rsid w:val="00EC5521"/>
    <w:rsid w:val="00EC55C8"/>
    <w:rsid w:val="00EC5DA1"/>
    <w:rsid w:val="00EC6013"/>
    <w:rsid w:val="00EC618E"/>
    <w:rsid w:val="00EC6FDA"/>
    <w:rsid w:val="00EC72D1"/>
    <w:rsid w:val="00ED01EF"/>
    <w:rsid w:val="00ED0AB6"/>
    <w:rsid w:val="00ED0CDE"/>
    <w:rsid w:val="00ED163B"/>
    <w:rsid w:val="00ED1C2C"/>
    <w:rsid w:val="00ED413C"/>
    <w:rsid w:val="00ED4970"/>
    <w:rsid w:val="00ED497E"/>
    <w:rsid w:val="00ED5316"/>
    <w:rsid w:val="00ED6C11"/>
    <w:rsid w:val="00ED71EB"/>
    <w:rsid w:val="00ED7CCA"/>
    <w:rsid w:val="00EE0AA2"/>
    <w:rsid w:val="00EE1A2C"/>
    <w:rsid w:val="00EE1C0C"/>
    <w:rsid w:val="00EE1FE9"/>
    <w:rsid w:val="00EE371D"/>
    <w:rsid w:val="00EE3EC3"/>
    <w:rsid w:val="00EE418D"/>
    <w:rsid w:val="00EE433B"/>
    <w:rsid w:val="00EE4927"/>
    <w:rsid w:val="00EE53CA"/>
    <w:rsid w:val="00EE5A1C"/>
    <w:rsid w:val="00EE5B1F"/>
    <w:rsid w:val="00EE5C61"/>
    <w:rsid w:val="00EE606C"/>
    <w:rsid w:val="00EE6A3B"/>
    <w:rsid w:val="00EE6F22"/>
    <w:rsid w:val="00EE77CD"/>
    <w:rsid w:val="00EF0821"/>
    <w:rsid w:val="00EF0BC9"/>
    <w:rsid w:val="00EF1BF2"/>
    <w:rsid w:val="00EF1DAE"/>
    <w:rsid w:val="00EF4192"/>
    <w:rsid w:val="00EF428C"/>
    <w:rsid w:val="00EF47BC"/>
    <w:rsid w:val="00EF4B8E"/>
    <w:rsid w:val="00EF4D05"/>
    <w:rsid w:val="00EF6258"/>
    <w:rsid w:val="00EF62E9"/>
    <w:rsid w:val="00EF71EF"/>
    <w:rsid w:val="00EF73CE"/>
    <w:rsid w:val="00F002AF"/>
    <w:rsid w:val="00F02CDD"/>
    <w:rsid w:val="00F02E82"/>
    <w:rsid w:val="00F0314F"/>
    <w:rsid w:val="00F03A87"/>
    <w:rsid w:val="00F040C6"/>
    <w:rsid w:val="00F0432D"/>
    <w:rsid w:val="00F044C2"/>
    <w:rsid w:val="00F05A3B"/>
    <w:rsid w:val="00F0685F"/>
    <w:rsid w:val="00F10162"/>
    <w:rsid w:val="00F1029B"/>
    <w:rsid w:val="00F10A42"/>
    <w:rsid w:val="00F1136B"/>
    <w:rsid w:val="00F11585"/>
    <w:rsid w:val="00F11A02"/>
    <w:rsid w:val="00F130D5"/>
    <w:rsid w:val="00F13113"/>
    <w:rsid w:val="00F15013"/>
    <w:rsid w:val="00F15278"/>
    <w:rsid w:val="00F167E7"/>
    <w:rsid w:val="00F168D8"/>
    <w:rsid w:val="00F17881"/>
    <w:rsid w:val="00F2056E"/>
    <w:rsid w:val="00F208E4"/>
    <w:rsid w:val="00F220B2"/>
    <w:rsid w:val="00F22844"/>
    <w:rsid w:val="00F22CC6"/>
    <w:rsid w:val="00F23324"/>
    <w:rsid w:val="00F2397E"/>
    <w:rsid w:val="00F239BB"/>
    <w:rsid w:val="00F240B3"/>
    <w:rsid w:val="00F2596E"/>
    <w:rsid w:val="00F25A9A"/>
    <w:rsid w:val="00F26FCD"/>
    <w:rsid w:val="00F301AC"/>
    <w:rsid w:val="00F302B9"/>
    <w:rsid w:val="00F30853"/>
    <w:rsid w:val="00F30A4E"/>
    <w:rsid w:val="00F31368"/>
    <w:rsid w:val="00F322C1"/>
    <w:rsid w:val="00F323C4"/>
    <w:rsid w:val="00F330F5"/>
    <w:rsid w:val="00F335A0"/>
    <w:rsid w:val="00F339E4"/>
    <w:rsid w:val="00F341E2"/>
    <w:rsid w:val="00F3427C"/>
    <w:rsid w:val="00F345B9"/>
    <w:rsid w:val="00F348A6"/>
    <w:rsid w:val="00F34A17"/>
    <w:rsid w:val="00F34A8F"/>
    <w:rsid w:val="00F34FF4"/>
    <w:rsid w:val="00F35A57"/>
    <w:rsid w:val="00F35B2F"/>
    <w:rsid w:val="00F35EA9"/>
    <w:rsid w:val="00F35EF6"/>
    <w:rsid w:val="00F3614F"/>
    <w:rsid w:val="00F36A44"/>
    <w:rsid w:val="00F373CA"/>
    <w:rsid w:val="00F37ADC"/>
    <w:rsid w:val="00F37D12"/>
    <w:rsid w:val="00F37FFD"/>
    <w:rsid w:val="00F40111"/>
    <w:rsid w:val="00F404A7"/>
    <w:rsid w:val="00F405DA"/>
    <w:rsid w:val="00F40C92"/>
    <w:rsid w:val="00F41644"/>
    <w:rsid w:val="00F420FF"/>
    <w:rsid w:val="00F421E1"/>
    <w:rsid w:val="00F42C75"/>
    <w:rsid w:val="00F42CAC"/>
    <w:rsid w:val="00F43342"/>
    <w:rsid w:val="00F439BC"/>
    <w:rsid w:val="00F43FFA"/>
    <w:rsid w:val="00F4588C"/>
    <w:rsid w:val="00F45FE1"/>
    <w:rsid w:val="00F466E1"/>
    <w:rsid w:val="00F47D46"/>
    <w:rsid w:val="00F5056B"/>
    <w:rsid w:val="00F51F29"/>
    <w:rsid w:val="00F53CA5"/>
    <w:rsid w:val="00F54B0C"/>
    <w:rsid w:val="00F54BBB"/>
    <w:rsid w:val="00F55652"/>
    <w:rsid w:val="00F55B65"/>
    <w:rsid w:val="00F57F63"/>
    <w:rsid w:val="00F6035E"/>
    <w:rsid w:val="00F60EDA"/>
    <w:rsid w:val="00F6200A"/>
    <w:rsid w:val="00F63C7C"/>
    <w:rsid w:val="00F63F7C"/>
    <w:rsid w:val="00F64546"/>
    <w:rsid w:val="00F65608"/>
    <w:rsid w:val="00F66BE2"/>
    <w:rsid w:val="00F67A11"/>
    <w:rsid w:val="00F71415"/>
    <w:rsid w:val="00F7154C"/>
    <w:rsid w:val="00F7172F"/>
    <w:rsid w:val="00F72707"/>
    <w:rsid w:val="00F729EC"/>
    <w:rsid w:val="00F72BD4"/>
    <w:rsid w:val="00F73719"/>
    <w:rsid w:val="00F737EF"/>
    <w:rsid w:val="00F73E28"/>
    <w:rsid w:val="00F756AF"/>
    <w:rsid w:val="00F75806"/>
    <w:rsid w:val="00F763C7"/>
    <w:rsid w:val="00F76F3C"/>
    <w:rsid w:val="00F771F4"/>
    <w:rsid w:val="00F77817"/>
    <w:rsid w:val="00F800A5"/>
    <w:rsid w:val="00F81DDB"/>
    <w:rsid w:val="00F81E49"/>
    <w:rsid w:val="00F822FB"/>
    <w:rsid w:val="00F832D2"/>
    <w:rsid w:val="00F83600"/>
    <w:rsid w:val="00F8396A"/>
    <w:rsid w:val="00F8524E"/>
    <w:rsid w:val="00F85327"/>
    <w:rsid w:val="00F85E5F"/>
    <w:rsid w:val="00F8613F"/>
    <w:rsid w:val="00F871C6"/>
    <w:rsid w:val="00F873DC"/>
    <w:rsid w:val="00F8789A"/>
    <w:rsid w:val="00F87DFA"/>
    <w:rsid w:val="00F906C3"/>
    <w:rsid w:val="00F90A1E"/>
    <w:rsid w:val="00F916DC"/>
    <w:rsid w:val="00F91FBB"/>
    <w:rsid w:val="00F928CF"/>
    <w:rsid w:val="00F93AED"/>
    <w:rsid w:val="00F9401A"/>
    <w:rsid w:val="00F95C29"/>
    <w:rsid w:val="00F95DE4"/>
    <w:rsid w:val="00F962EA"/>
    <w:rsid w:val="00F96A4A"/>
    <w:rsid w:val="00F96D5E"/>
    <w:rsid w:val="00F97588"/>
    <w:rsid w:val="00FA045D"/>
    <w:rsid w:val="00FA071D"/>
    <w:rsid w:val="00FA0B5A"/>
    <w:rsid w:val="00FA0C34"/>
    <w:rsid w:val="00FA2041"/>
    <w:rsid w:val="00FA247A"/>
    <w:rsid w:val="00FA249E"/>
    <w:rsid w:val="00FA2753"/>
    <w:rsid w:val="00FA310E"/>
    <w:rsid w:val="00FA4662"/>
    <w:rsid w:val="00FA53AA"/>
    <w:rsid w:val="00FA5467"/>
    <w:rsid w:val="00FA574C"/>
    <w:rsid w:val="00FA5FE4"/>
    <w:rsid w:val="00FA672E"/>
    <w:rsid w:val="00FA6817"/>
    <w:rsid w:val="00FB02C8"/>
    <w:rsid w:val="00FB0995"/>
    <w:rsid w:val="00FB0E5B"/>
    <w:rsid w:val="00FB13CA"/>
    <w:rsid w:val="00FB19E7"/>
    <w:rsid w:val="00FB20CC"/>
    <w:rsid w:val="00FB2E7F"/>
    <w:rsid w:val="00FB2EAC"/>
    <w:rsid w:val="00FB3BFE"/>
    <w:rsid w:val="00FB4568"/>
    <w:rsid w:val="00FB4C94"/>
    <w:rsid w:val="00FB4E43"/>
    <w:rsid w:val="00FB5290"/>
    <w:rsid w:val="00FB56B2"/>
    <w:rsid w:val="00FB59B6"/>
    <w:rsid w:val="00FB5C92"/>
    <w:rsid w:val="00FB6D6F"/>
    <w:rsid w:val="00FB7E42"/>
    <w:rsid w:val="00FC048D"/>
    <w:rsid w:val="00FC0EA4"/>
    <w:rsid w:val="00FC2441"/>
    <w:rsid w:val="00FC287C"/>
    <w:rsid w:val="00FC2A31"/>
    <w:rsid w:val="00FC2D4E"/>
    <w:rsid w:val="00FC3A7B"/>
    <w:rsid w:val="00FC4253"/>
    <w:rsid w:val="00FC48AB"/>
    <w:rsid w:val="00FC4C92"/>
    <w:rsid w:val="00FC5148"/>
    <w:rsid w:val="00FC55E9"/>
    <w:rsid w:val="00FC590A"/>
    <w:rsid w:val="00FC592F"/>
    <w:rsid w:val="00FC5D65"/>
    <w:rsid w:val="00FC6AB2"/>
    <w:rsid w:val="00FD01D3"/>
    <w:rsid w:val="00FD087C"/>
    <w:rsid w:val="00FD2438"/>
    <w:rsid w:val="00FD2444"/>
    <w:rsid w:val="00FD2DB7"/>
    <w:rsid w:val="00FD3A37"/>
    <w:rsid w:val="00FD3C12"/>
    <w:rsid w:val="00FD3DDE"/>
    <w:rsid w:val="00FD3F1E"/>
    <w:rsid w:val="00FD6813"/>
    <w:rsid w:val="00FD69F8"/>
    <w:rsid w:val="00FD7715"/>
    <w:rsid w:val="00FD79F2"/>
    <w:rsid w:val="00FE1A99"/>
    <w:rsid w:val="00FE30A5"/>
    <w:rsid w:val="00FE3B2D"/>
    <w:rsid w:val="00FE4262"/>
    <w:rsid w:val="00FE472E"/>
    <w:rsid w:val="00FE490B"/>
    <w:rsid w:val="00FE551D"/>
    <w:rsid w:val="00FE5814"/>
    <w:rsid w:val="00FE5B71"/>
    <w:rsid w:val="00FE6454"/>
    <w:rsid w:val="00FE6904"/>
    <w:rsid w:val="00FE6B8E"/>
    <w:rsid w:val="00FF0818"/>
    <w:rsid w:val="00FF20EE"/>
    <w:rsid w:val="00FF2E66"/>
    <w:rsid w:val="00FF2E78"/>
    <w:rsid w:val="00FF4D45"/>
    <w:rsid w:val="00FF4DF9"/>
    <w:rsid w:val="00FF530F"/>
    <w:rsid w:val="00FF5877"/>
    <w:rsid w:val="00FF608E"/>
    <w:rsid w:val="00FF6C10"/>
    <w:rsid w:val="00FF73FB"/>
    <w:rsid w:val="00FF7C8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6081"/>
    <o:shapelayout v:ext="edit">
      <o:idmap v:ext="edit" data="1"/>
    </o:shapelayout>
  </w:shapeDefaults>
  <w:decimalSymbol w:val="."/>
  <w:listSeparator w:val=","/>
  <w14:docId w14:val="3DFC527B"/>
  <w15:docId w15:val="{E1D00522-8905-46C5-8803-7CC80ABD6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eorgia" w:eastAsiaTheme="minorHAnsi" w:hAnsi="Georgia" w:cs="Times New Roman"/>
        <w:lang w:val="en-US" w:eastAsia="en-US" w:bidi="ar-SA"/>
      </w:rPr>
    </w:rPrDefault>
    <w:pPrDefault/>
  </w:docDefaults>
  <w:latentStyles w:defLockedState="0" w:defUIPriority="99" w:defSemiHidden="0" w:defUnhideWhenUsed="0" w:defQFormat="0" w:count="371">
    <w:lsdException w:name="Normal" w:uiPriority="0"/>
    <w:lsdException w:name="heading 1" w:uiPriority="1" w:qFormat="1"/>
    <w:lsdException w:name="heading 2" w:uiPriority="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2" w:unhideWhenUsed="1" w:qFormat="1"/>
    <w:lsdException w:name="heading 8" w:semiHidden="1" w:uiPriority="13" w:unhideWhenUsed="1"/>
    <w:lsdException w:name="heading 9" w:semiHidden="1" w:uiPriority="14"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iPriority="0" w:unhideWhenUsed="1"/>
    <w:lsdException w:name="Signature" w:semiHidden="1" w:uiPriority="0" w:unhideWhenUsed="1"/>
    <w:lsdException w:name="Default Paragraph Font" w:semiHidden="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1"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iPriority="0"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1"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2C40C3"/>
    <w:pPr>
      <w:tabs>
        <w:tab w:val="left" w:pos="850"/>
        <w:tab w:val="left" w:pos="1191"/>
        <w:tab w:val="left" w:pos="1531"/>
      </w:tabs>
      <w:jc w:val="both"/>
    </w:pPr>
    <w:rPr>
      <w:rFonts w:ascii="Times New Roman" w:hAnsi="Times New Roman"/>
      <w:sz w:val="22"/>
      <w:lang w:val="en-GB"/>
    </w:rPr>
  </w:style>
  <w:style w:type="paragraph" w:styleId="Heading1">
    <w:name w:val="heading 1"/>
    <w:basedOn w:val="Normal"/>
    <w:next w:val="Para0"/>
    <w:link w:val="Heading1Char"/>
    <w:uiPriority w:val="1"/>
    <w:qFormat/>
    <w:rsid w:val="00517792"/>
    <w:pPr>
      <w:keepNext/>
      <w:keepLines/>
      <w:numPr>
        <w:numId w:val="54"/>
      </w:numPr>
      <w:spacing w:before="480" w:after="240"/>
      <w:jc w:val="left"/>
      <w:outlineLvl w:val="0"/>
    </w:pPr>
    <w:rPr>
      <w:b/>
      <w:bCs/>
      <w:color w:val="4E81BD"/>
      <w:kern w:val="28"/>
      <w:sz w:val="24"/>
    </w:rPr>
  </w:style>
  <w:style w:type="paragraph" w:styleId="Heading2">
    <w:name w:val="heading 2"/>
    <w:basedOn w:val="Normal"/>
    <w:next w:val="Para0"/>
    <w:link w:val="Heading2Char"/>
    <w:uiPriority w:val="1"/>
    <w:qFormat/>
    <w:rsid w:val="00517792"/>
    <w:pPr>
      <w:keepNext/>
      <w:numPr>
        <w:ilvl w:val="1"/>
        <w:numId w:val="54"/>
      </w:numPr>
      <w:spacing w:before="240" w:after="240"/>
      <w:ind w:right="680"/>
      <w:jc w:val="left"/>
      <w:outlineLvl w:val="1"/>
    </w:pPr>
    <w:rPr>
      <w:b/>
      <w:bCs/>
      <w:sz w:val="24"/>
    </w:rPr>
  </w:style>
  <w:style w:type="paragraph" w:styleId="Heading3">
    <w:name w:val="heading 3"/>
    <w:basedOn w:val="Normal"/>
    <w:next w:val="Para0"/>
    <w:link w:val="Heading3Char"/>
    <w:uiPriority w:val="1"/>
    <w:qFormat/>
    <w:rsid w:val="00517792"/>
    <w:pPr>
      <w:keepNext/>
      <w:keepLines/>
      <w:numPr>
        <w:ilvl w:val="2"/>
        <w:numId w:val="54"/>
      </w:numPr>
      <w:spacing w:before="240" w:after="120"/>
      <w:ind w:right="680"/>
      <w:jc w:val="left"/>
      <w:outlineLvl w:val="2"/>
    </w:pPr>
    <w:rPr>
      <w:b/>
      <w:bCs/>
      <w:i/>
      <w:iCs/>
      <w:color w:val="262626"/>
      <w:sz w:val="24"/>
    </w:rPr>
  </w:style>
  <w:style w:type="paragraph" w:styleId="Heading4">
    <w:name w:val="heading 4"/>
    <w:basedOn w:val="Normal"/>
    <w:next w:val="Para0"/>
    <w:link w:val="Heading4Char"/>
    <w:uiPriority w:val="1"/>
    <w:qFormat/>
    <w:rsid w:val="00517792"/>
    <w:pPr>
      <w:keepNext/>
      <w:keepLines/>
      <w:numPr>
        <w:ilvl w:val="3"/>
        <w:numId w:val="54"/>
      </w:numPr>
      <w:spacing w:before="240" w:after="120"/>
      <w:ind w:right="680"/>
      <w:jc w:val="left"/>
      <w:outlineLvl w:val="3"/>
    </w:pPr>
    <w:rPr>
      <w:i/>
      <w:iCs/>
      <w:color w:val="000000" w:themeColor="text1"/>
      <w:sz w:val="24"/>
    </w:rPr>
  </w:style>
  <w:style w:type="paragraph" w:styleId="Heading5">
    <w:name w:val="heading 5"/>
    <w:basedOn w:val="Normal"/>
    <w:next w:val="Para0"/>
    <w:link w:val="Heading5Char"/>
    <w:uiPriority w:val="1"/>
    <w:qFormat/>
    <w:rsid w:val="00517792"/>
    <w:pPr>
      <w:keepNext/>
      <w:keepLines/>
      <w:numPr>
        <w:ilvl w:val="4"/>
        <w:numId w:val="54"/>
      </w:numPr>
      <w:spacing w:before="240" w:after="120"/>
      <w:ind w:right="680"/>
      <w:jc w:val="left"/>
      <w:outlineLvl w:val="4"/>
    </w:pPr>
    <w:rPr>
      <w:color w:val="000000" w:themeColor="text1"/>
      <w:sz w:val="24"/>
    </w:rPr>
  </w:style>
  <w:style w:type="paragraph" w:styleId="Heading6">
    <w:name w:val="heading 6"/>
    <w:aliases w:val="Part"/>
    <w:basedOn w:val="Normal"/>
    <w:next w:val="Heading1"/>
    <w:link w:val="Heading6Char"/>
    <w:uiPriority w:val="1"/>
    <w:qFormat/>
    <w:rsid w:val="00517792"/>
    <w:pPr>
      <w:keepNext/>
      <w:numPr>
        <w:ilvl w:val="5"/>
        <w:numId w:val="54"/>
      </w:numPr>
      <w:spacing w:before="1200" w:after="720"/>
      <w:jc w:val="center"/>
      <w:outlineLvl w:val="5"/>
    </w:pPr>
    <w:rPr>
      <w:b/>
      <w:color w:val="4E81BD"/>
      <w:sz w:val="28"/>
    </w:rPr>
  </w:style>
  <w:style w:type="paragraph" w:styleId="Heading7">
    <w:name w:val="heading 7"/>
    <w:aliases w:val="Doc AnnX"/>
    <w:basedOn w:val="Normal"/>
    <w:next w:val="Para0"/>
    <w:link w:val="Heading7Char"/>
    <w:uiPriority w:val="12"/>
    <w:qFormat/>
    <w:rsid w:val="00517792"/>
    <w:pPr>
      <w:keepNext/>
      <w:numPr>
        <w:ilvl w:val="6"/>
        <w:numId w:val="54"/>
      </w:numPr>
      <w:spacing w:before="1200" w:after="720"/>
      <w:jc w:val="center"/>
      <w:outlineLvl w:val="6"/>
    </w:pPr>
    <w:rPr>
      <w:b/>
      <w:color w:val="4E81BD"/>
      <w:sz w:val="28"/>
    </w:rPr>
  </w:style>
  <w:style w:type="paragraph" w:styleId="Heading8">
    <w:name w:val="heading 8"/>
    <w:aliases w:val="Part AnnX"/>
    <w:basedOn w:val="Heading7"/>
    <w:next w:val="Para0"/>
    <w:link w:val="Heading8Char"/>
    <w:uiPriority w:val="13"/>
    <w:rsid w:val="00761032"/>
    <w:pPr>
      <w:numPr>
        <w:ilvl w:val="7"/>
      </w:numPr>
      <w:outlineLvl w:val="7"/>
    </w:pPr>
  </w:style>
  <w:style w:type="paragraph" w:styleId="Heading9">
    <w:name w:val="heading 9"/>
    <w:aliases w:val="Chap AnnX"/>
    <w:basedOn w:val="Heading8"/>
    <w:next w:val="Para0"/>
    <w:link w:val="Heading9Char"/>
    <w:uiPriority w:val="14"/>
    <w:qFormat/>
    <w:rsid w:val="00517792"/>
    <w:pPr>
      <w:numPr>
        <w:ilvl w:val="8"/>
        <w:numId w:val="13"/>
      </w:numPr>
      <w:ind w:left="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517792"/>
    <w:rPr>
      <w:rFonts w:ascii="Times New Roman" w:hAnsi="Times New Roman"/>
      <w:b/>
      <w:bCs/>
      <w:color w:val="4E81BD"/>
      <w:kern w:val="28"/>
      <w:sz w:val="24"/>
      <w:lang w:val="en-GB"/>
    </w:rPr>
  </w:style>
  <w:style w:type="character" w:customStyle="1" w:styleId="Heading2Char">
    <w:name w:val="Heading 2 Char"/>
    <w:basedOn w:val="DefaultParagraphFont"/>
    <w:link w:val="Heading2"/>
    <w:uiPriority w:val="1"/>
    <w:rsid w:val="00517792"/>
    <w:rPr>
      <w:rFonts w:ascii="Times New Roman" w:hAnsi="Times New Roman"/>
      <w:b/>
      <w:bCs/>
      <w:sz w:val="24"/>
      <w:lang w:val="en-GB"/>
    </w:rPr>
  </w:style>
  <w:style w:type="character" w:customStyle="1" w:styleId="Heading3Char">
    <w:name w:val="Heading 3 Char"/>
    <w:basedOn w:val="DefaultParagraphFont"/>
    <w:link w:val="Heading3"/>
    <w:uiPriority w:val="1"/>
    <w:rsid w:val="00517792"/>
    <w:rPr>
      <w:rFonts w:ascii="Times New Roman" w:hAnsi="Times New Roman"/>
      <w:b/>
      <w:bCs/>
      <w:i/>
      <w:iCs/>
      <w:color w:val="262626"/>
      <w:sz w:val="24"/>
      <w:lang w:val="en-GB"/>
    </w:rPr>
  </w:style>
  <w:style w:type="character" w:customStyle="1" w:styleId="Heading4Char">
    <w:name w:val="Heading 4 Char"/>
    <w:basedOn w:val="DefaultParagraphFont"/>
    <w:link w:val="Heading4"/>
    <w:uiPriority w:val="1"/>
    <w:rsid w:val="00517792"/>
    <w:rPr>
      <w:rFonts w:ascii="Times New Roman" w:hAnsi="Times New Roman"/>
      <w:i/>
      <w:iCs/>
      <w:color w:val="000000" w:themeColor="text1"/>
      <w:sz w:val="24"/>
      <w:lang w:val="en-GB"/>
    </w:rPr>
  </w:style>
  <w:style w:type="character" w:customStyle="1" w:styleId="Heading5Char">
    <w:name w:val="Heading 5 Char"/>
    <w:basedOn w:val="DefaultParagraphFont"/>
    <w:link w:val="Heading5"/>
    <w:uiPriority w:val="1"/>
    <w:rsid w:val="00517792"/>
    <w:rPr>
      <w:rFonts w:ascii="Times New Roman" w:hAnsi="Times New Roman"/>
      <w:color w:val="000000" w:themeColor="text1"/>
      <w:sz w:val="24"/>
      <w:lang w:val="en-GB"/>
    </w:rPr>
  </w:style>
  <w:style w:type="character" w:customStyle="1" w:styleId="Heading6Char">
    <w:name w:val="Heading 6 Char"/>
    <w:aliases w:val="Part Char"/>
    <w:basedOn w:val="DefaultParagraphFont"/>
    <w:link w:val="Heading6"/>
    <w:uiPriority w:val="1"/>
    <w:rsid w:val="00517792"/>
    <w:rPr>
      <w:rFonts w:ascii="Times New Roman" w:hAnsi="Times New Roman"/>
      <w:b/>
      <w:color w:val="4E81BD"/>
      <w:sz w:val="28"/>
      <w:lang w:val="en-GB"/>
    </w:rPr>
  </w:style>
  <w:style w:type="character" w:customStyle="1" w:styleId="Heading7Char">
    <w:name w:val="Heading 7 Char"/>
    <w:aliases w:val="Doc AnnX Char"/>
    <w:basedOn w:val="DefaultParagraphFont"/>
    <w:link w:val="Heading7"/>
    <w:uiPriority w:val="12"/>
    <w:rsid w:val="00517792"/>
    <w:rPr>
      <w:rFonts w:ascii="Times New Roman" w:hAnsi="Times New Roman"/>
      <w:b/>
      <w:color w:val="4E81BD"/>
      <w:sz w:val="28"/>
      <w:lang w:val="en-GB"/>
    </w:rPr>
  </w:style>
  <w:style w:type="character" w:customStyle="1" w:styleId="Heading8Char">
    <w:name w:val="Heading 8 Char"/>
    <w:aliases w:val="Part AnnX Char"/>
    <w:basedOn w:val="DefaultParagraphFont"/>
    <w:link w:val="Heading8"/>
    <w:uiPriority w:val="13"/>
    <w:rsid w:val="00761032"/>
    <w:rPr>
      <w:rFonts w:ascii="Times New Roman" w:hAnsi="Times New Roman"/>
      <w:b/>
      <w:color w:val="4E81BD"/>
      <w:sz w:val="28"/>
      <w:lang w:val="en-GB"/>
    </w:rPr>
  </w:style>
  <w:style w:type="character" w:customStyle="1" w:styleId="Heading9Char">
    <w:name w:val="Heading 9 Char"/>
    <w:aliases w:val="Chap AnnX Char"/>
    <w:basedOn w:val="DefaultParagraphFont"/>
    <w:link w:val="Heading9"/>
    <w:uiPriority w:val="14"/>
    <w:rsid w:val="00517792"/>
    <w:rPr>
      <w:rFonts w:ascii="Times New Roman" w:hAnsi="Times New Roman"/>
      <w:b/>
      <w:color w:val="4E81BD"/>
      <w:sz w:val="28"/>
      <w:lang w:val="en-GB"/>
    </w:rPr>
  </w:style>
  <w:style w:type="paragraph" w:styleId="TOC1">
    <w:name w:val="toc 1"/>
    <w:basedOn w:val="Normal"/>
    <w:next w:val="Normal"/>
    <w:uiPriority w:val="39"/>
    <w:unhideWhenUsed/>
    <w:rsid w:val="00642407"/>
    <w:pPr>
      <w:tabs>
        <w:tab w:val="clear" w:pos="850"/>
        <w:tab w:val="clear" w:pos="1191"/>
        <w:tab w:val="clear" w:pos="1531"/>
        <w:tab w:val="right" w:leader="dot" w:pos="9072"/>
      </w:tabs>
      <w:spacing w:before="120" w:after="120"/>
      <w:ind w:right="510"/>
      <w:jc w:val="left"/>
    </w:pPr>
    <w:rPr>
      <w:b/>
      <w:noProof/>
    </w:rPr>
  </w:style>
  <w:style w:type="paragraph" w:styleId="TOC2">
    <w:name w:val="toc 2"/>
    <w:basedOn w:val="Normal"/>
    <w:next w:val="Normal"/>
    <w:uiPriority w:val="39"/>
    <w:unhideWhenUsed/>
    <w:rsid w:val="00807595"/>
    <w:pPr>
      <w:tabs>
        <w:tab w:val="clear" w:pos="850"/>
        <w:tab w:val="clear" w:pos="1191"/>
        <w:tab w:val="clear" w:pos="1531"/>
        <w:tab w:val="right" w:leader="dot" w:pos="9072"/>
      </w:tabs>
      <w:ind w:left="198" w:right="510"/>
      <w:jc w:val="left"/>
    </w:pPr>
    <w:rPr>
      <w:noProof/>
    </w:rPr>
  </w:style>
  <w:style w:type="paragraph" w:styleId="TOC3">
    <w:name w:val="toc 3"/>
    <w:basedOn w:val="Normal"/>
    <w:next w:val="Normal"/>
    <w:uiPriority w:val="39"/>
    <w:unhideWhenUsed/>
    <w:rsid w:val="00807595"/>
    <w:pPr>
      <w:tabs>
        <w:tab w:val="clear" w:pos="850"/>
        <w:tab w:val="clear" w:pos="1191"/>
        <w:tab w:val="clear" w:pos="1531"/>
        <w:tab w:val="right" w:leader="dot" w:pos="9072"/>
      </w:tabs>
      <w:ind w:left="397" w:right="510"/>
      <w:jc w:val="left"/>
    </w:pPr>
    <w:rPr>
      <w:noProof/>
    </w:rPr>
  </w:style>
  <w:style w:type="paragraph" w:styleId="TOC4">
    <w:name w:val="toc 4"/>
    <w:basedOn w:val="Normal"/>
    <w:next w:val="Normal"/>
    <w:uiPriority w:val="39"/>
    <w:rsid w:val="007C7BE2"/>
    <w:pPr>
      <w:tabs>
        <w:tab w:val="clear" w:pos="850"/>
        <w:tab w:val="clear" w:pos="1191"/>
        <w:tab w:val="clear" w:pos="1531"/>
        <w:tab w:val="right" w:leader="dot" w:pos="9072"/>
      </w:tabs>
      <w:ind w:left="595" w:right="510"/>
      <w:jc w:val="left"/>
    </w:pPr>
    <w:rPr>
      <w:noProof/>
    </w:rPr>
  </w:style>
  <w:style w:type="paragraph" w:styleId="TOC5">
    <w:name w:val="toc 5"/>
    <w:aliases w:val="Annotated Item"/>
    <w:basedOn w:val="Para0"/>
    <w:next w:val="Para0"/>
    <w:uiPriority w:val="39"/>
    <w:rsid w:val="00184759"/>
    <w:pPr>
      <w:keepNext/>
      <w:spacing w:before="0"/>
      <w:ind w:left="0" w:right="0"/>
    </w:pPr>
    <w:rPr>
      <w:b/>
      <w:color w:val="4E81BD"/>
    </w:rPr>
  </w:style>
  <w:style w:type="paragraph" w:styleId="TOC6">
    <w:name w:val="toc 6"/>
    <w:basedOn w:val="Normal"/>
    <w:next w:val="Normal"/>
    <w:uiPriority w:val="39"/>
    <w:rsid w:val="00DD52A9"/>
    <w:pPr>
      <w:tabs>
        <w:tab w:val="clear" w:pos="850"/>
        <w:tab w:val="clear" w:pos="1191"/>
        <w:tab w:val="clear" w:pos="1531"/>
      </w:tabs>
      <w:ind w:left="1100"/>
    </w:pPr>
  </w:style>
  <w:style w:type="paragraph" w:styleId="TOC7">
    <w:name w:val="toc 7"/>
    <w:basedOn w:val="Normal"/>
    <w:next w:val="Normal"/>
    <w:uiPriority w:val="39"/>
    <w:rsid w:val="00DD52A9"/>
    <w:pPr>
      <w:tabs>
        <w:tab w:val="clear" w:pos="850"/>
        <w:tab w:val="clear" w:pos="1191"/>
        <w:tab w:val="clear" w:pos="1531"/>
      </w:tabs>
      <w:ind w:left="1320"/>
    </w:pPr>
  </w:style>
  <w:style w:type="paragraph" w:styleId="TOC8">
    <w:name w:val="toc 8"/>
    <w:basedOn w:val="Normal"/>
    <w:next w:val="Normal"/>
    <w:uiPriority w:val="39"/>
    <w:rsid w:val="00DD52A9"/>
    <w:pPr>
      <w:tabs>
        <w:tab w:val="clear" w:pos="850"/>
        <w:tab w:val="clear" w:pos="1191"/>
        <w:tab w:val="clear" w:pos="1531"/>
      </w:tabs>
      <w:ind w:left="1540"/>
    </w:pPr>
  </w:style>
  <w:style w:type="paragraph" w:styleId="TOC9">
    <w:name w:val="toc 9"/>
    <w:basedOn w:val="Normal"/>
    <w:next w:val="Normal"/>
    <w:uiPriority w:val="39"/>
    <w:rsid w:val="00DD52A9"/>
    <w:pPr>
      <w:tabs>
        <w:tab w:val="clear" w:pos="850"/>
        <w:tab w:val="clear" w:pos="1191"/>
        <w:tab w:val="clear" w:pos="1531"/>
      </w:tabs>
      <w:ind w:left="1760"/>
    </w:pPr>
  </w:style>
  <w:style w:type="paragraph" w:styleId="Caption">
    <w:name w:val="caption"/>
    <w:basedOn w:val="Normal"/>
    <w:next w:val="CaptionSubtitle"/>
    <w:uiPriority w:val="35"/>
    <w:qFormat/>
    <w:rsid w:val="00630B9E"/>
    <w:pPr>
      <w:keepNext/>
      <w:spacing w:before="240" w:after="240"/>
      <w:ind w:left="680" w:right="680"/>
      <w:jc w:val="center"/>
    </w:pPr>
    <w:rPr>
      <w:b/>
      <w:bCs/>
      <w:sz w:val="20"/>
    </w:rPr>
  </w:style>
  <w:style w:type="paragraph" w:styleId="Title">
    <w:name w:val="Title"/>
    <w:basedOn w:val="Normal"/>
    <w:next w:val="Para0"/>
    <w:link w:val="TitleChar"/>
    <w:qFormat/>
    <w:rsid w:val="00517792"/>
    <w:pPr>
      <w:keepNext/>
      <w:keepLines/>
      <w:spacing w:before="1200" w:after="720"/>
      <w:ind w:left="680" w:right="680"/>
      <w:jc w:val="center"/>
      <w:outlineLvl w:val="0"/>
    </w:pPr>
    <w:rPr>
      <w:rFonts w:cs="Arial"/>
      <w:bCs/>
      <w:i/>
      <w:color w:val="4E81BD"/>
      <w:kern w:val="28"/>
      <w:sz w:val="32"/>
      <w:szCs w:val="32"/>
    </w:rPr>
  </w:style>
  <w:style w:type="character" w:customStyle="1" w:styleId="TitleChar">
    <w:name w:val="Title Char"/>
    <w:basedOn w:val="DefaultParagraphFont"/>
    <w:link w:val="Title"/>
    <w:rsid w:val="00517792"/>
    <w:rPr>
      <w:rFonts w:ascii="Times New Roman" w:hAnsi="Times New Roman" w:cs="Arial"/>
      <w:bCs/>
      <w:i/>
      <w:color w:val="4E81BD"/>
      <w:kern w:val="28"/>
      <w:sz w:val="32"/>
      <w:szCs w:val="32"/>
      <w:lang w:val="en-GB"/>
    </w:rPr>
  </w:style>
  <w:style w:type="paragraph" w:styleId="Subtitle">
    <w:name w:val="Subtitle"/>
    <w:basedOn w:val="Normal"/>
    <w:next w:val="ImportantInformation"/>
    <w:link w:val="SubtitleChar"/>
    <w:uiPriority w:val="1"/>
    <w:qFormat/>
    <w:rsid w:val="002C4BC8"/>
    <w:pPr>
      <w:spacing w:after="240"/>
      <w:jc w:val="center"/>
    </w:pPr>
    <w:rPr>
      <w:rFonts w:cs="Arial"/>
      <w:b/>
      <w:sz w:val="24"/>
      <w:szCs w:val="24"/>
    </w:rPr>
  </w:style>
  <w:style w:type="character" w:customStyle="1" w:styleId="SubtitleChar">
    <w:name w:val="Subtitle Char"/>
    <w:basedOn w:val="DefaultParagraphFont"/>
    <w:link w:val="Subtitle"/>
    <w:uiPriority w:val="1"/>
    <w:rsid w:val="002C4BC8"/>
    <w:rPr>
      <w:rFonts w:ascii="Times New Roman" w:hAnsi="Times New Roman" w:cs="Arial"/>
      <w:b/>
      <w:sz w:val="24"/>
      <w:szCs w:val="24"/>
      <w:lang w:val="en-GB"/>
    </w:rPr>
  </w:style>
  <w:style w:type="paragraph" w:styleId="Header">
    <w:name w:val="header"/>
    <w:basedOn w:val="Normal"/>
    <w:link w:val="HeaderChar"/>
    <w:unhideWhenUsed/>
    <w:rsid w:val="007A09AC"/>
    <w:pPr>
      <w:tabs>
        <w:tab w:val="clear" w:pos="850"/>
        <w:tab w:val="clear" w:pos="1191"/>
        <w:tab w:val="clear" w:pos="1531"/>
        <w:tab w:val="center" w:pos="4680"/>
        <w:tab w:val="right" w:pos="9360"/>
      </w:tabs>
    </w:pPr>
  </w:style>
  <w:style w:type="character" w:customStyle="1" w:styleId="HeaderChar">
    <w:name w:val="Header Char"/>
    <w:basedOn w:val="DefaultParagraphFont"/>
    <w:link w:val="Header"/>
    <w:rsid w:val="007A09AC"/>
    <w:rPr>
      <w:rFonts w:ascii="Times New Roman" w:hAnsi="Times New Roman"/>
      <w:lang w:val="en-GB"/>
    </w:rPr>
  </w:style>
  <w:style w:type="paragraph" w:styleId="Footer">
    <w:name w:val="footer"/>
    <w:basedOn w:val="Normal"/>
    <w:link w:val="FooterChar"/>
    <w:uiPriority w:val="99"/>
    <w:unhideWhenUsed/>
    <w:rsid w:val="00653CBE"/>
    <w:pPr>
      <w:tabs>
        <w:tab w:val="clear" w:pos="850"/>
        <w:tab w:val="clear" w:pos="1191"/>
        <w:tab w:val="clear" w:pos="1531"/>
      </w:tabs>
      <w:jc w:val="center"/>
    </w:pPr>
    <w:rPr>
      <w:caps/>
      <w:sz w:val="16"/>
    </w:rPr>
  </w:style>
  <w:style w:type="character" w:customStyle="1" w:styleId="FooterChar">
    <w:name w:val="Footer Char"/>
    <w:basedOn w:val="DefaultParagraphFont"/>
    <w:link w:val="Footer"/>
    <w:uiPriority w:val="99"/>
    <w:rsid w:val="00653CBE"/>
    <w:rPr>
      <w:rFonts w:ascii="Times New Roman" w:hAnsi="Times New Roman"/>
      <w:caps/>
      <w:sz w:val="16"/>
      <w:lang w:val="en-GB"/>
    </w:rPr>
  </w:style>
  <w:style w:type="numbering" w:customStyle="1" w:styleId="NoList1">
    <w:name w:val="No List1"/>
    <w:next w:val="NoList"/>
    <w:uiPriority w:val="99"/>
    <w:semiHidden/>
    <w:unhideWhenUsed/>
    <w:rsid w:val="00156910"/>
  </w:style>
  <w:style w:type="paragraph" w:styleId="BodyText">
    <w:name w:val="Body Text"/>
    <w:basedOn w:val="Normal"/>
    <w:link w:val="BodyTextChar"/>
    <w:rsid w:val="00156910"/>
    <w:pPr>
      <w:tabs>
        <w:tab w:val="clear" w:pos="850"/>
        <w:tab w:val="clear" w:pos="1191"/>
        <w:tab w:val="clear" w:pos="1531"/>
      </w:tabs>
      <w:ind w:firstLine="442"/>
    </w:pPr>
    <w:rPr>
      <w:rFonts w:eastAsia="SimSun"/>
    </w:rPr>
  </w:style>
  <w:style w:type="character" w:customStyle="1" w:styleId="BodyTextChar">
    <w:name w:val="Body Text Char"/>
    <w:basedOn w:val="DefaultParagraphFont"/>
    <w:link w:val="BodyText"/>
    <w:rsid w:val="0074276B"/>
    <w:rPr>
      <w:rFonts w:eastAsia="SimSun"/>
    </w:rPr>
  </w:style>
  <w:style w:type="paragraph" w:customStyle="1" w:styleId="TableCell">
    <w:name w:val="Table Cell"/>
    <w:basedOn w:val="Normal"/>
    <w:uiPriority w:val="10"/>
    <w:qFormat/>
    <w:rsid w:val="00517792"/>
    <w:pPr>
      <w:keepNext/>
      <w:keepLines/>
      <w:tabs>
        <w:tab w:val="clear" w:pos="850"/>
        <w:tab w:val="clear" w:pos="1191"/>
        <w:tab w:val="clear" w:pos="1531"/>
        <w:tab w:val="left" w:pos="340"/>
        <w:tab w:val="left" w:pos="680"/>
      </w:tabs>
      <w:spacing w:before="20" w:after="20"/>
      <w:jc w:val="right"/>
    </w:pPr>
    <w:rPr>
      <w:rFonts w:ascii="Arial Narrow" w:eastAsia="SimSun" w:hAnsi="Arial Narrow" w:cs="Arial"/>
      <w:sz w:val="17"/>
      <w:szCs w:val="18"/>
    </w:rPr>
  </w:style>
  <w:style w:type="paragraph" w:styleId="EndnoteText">
    <w:name w:val="endnote text"/>
    <w:basedOn w:val="FootnoteText"/>
    <w:link w:val="EndnoteTextChar"/>
    <w:semiHidden/>
    <w:rsid w:val="00027DF3"/>
  </w:style>
  <w:style w:type="character" w:customStyle="1" w:styleId="EndnoteTextChar">
    <w:name w:val="Endnote Text Char"/>
    <w:basedOn w:val="DefaultParagraphFont"/>
    <w:link w:val="EndnoteText"/>
    <w:semiHidden/>
    <w:rsid w:val="00027DF3"/>
    <w:rPr>
      <w:rFonts w:ascii="Times New Roman" w:eastAsia="SimSun" w:hAnsi="Times New Roman"/>
      <w:lang w:val="en-GB"/>
    </w:rPr>
  </w:style>
  <w:style w:type="paragraph" w:customStyle="1" w:styleId="CaptionSubtitle">
    <w:name w:val="Caption Subtitle"/>
    <w:basedOn w:val="Normal"/>
    <w:next w:val="Para0"/>
    <w:uiPriority w:val="7"/>
    <w:rsid w:val="00F26FCD"/>
    <w:pPr>
      <w:keepNext/>
      <w:tabs>
        <w:tab w:val="clear" w:pos="850"/>
        <w:tab w:val="clear" w:pos="1191"/>
        <w:tab w:val="clear" w:pos="1531"/>
      </w:tabs>
      <w:spacing w:after="120"/>
      <w:ind w:left="680" w:right="680"/>
      <w:jc w:val="center"/>
    </w:pPr>
    <w:rPr>
      <w:rFonts w:eastAsia="SimSun" w:cs="Arial"/>
      <w:sz w:val="18"/>
    </w:rPr>
  </w:style>
  <w:style w:type="character" w:styleId="FootnoteReference">
    <w:name w:val="footnote reference"/>
    <w:aliases w:val="fr,ftref,BVI fnr,Footnote Reference-BSA-AML,Footnote symbol,Знак сноски-FN,callout,Rimando notaOreste,Rimando notaOreste1,Rimando notaOreste2,nota a piè di pagina,(Footnote Reference),SUPERS,EN Footnote Reference,note TESI,o,Footnote"/>
    <w:basedOn w:val="DefaultParagraphFont"/>
    <w:uiPriority w:val="99"/>
    <w:qFormat/>
    <w:rsid w:val="0010021A"/>
    <w:rPr>
      <w:rFonts w:ascii="Times New Roman" w:hAnsi="Times New Roman"/>
      <w:i w:val="0"/>
      <w:position w:val="0"/>
      <w:sz w:val="22"/>
      <w:vertAlign w:val="superscript"/>
    </w:rPr>
  </w:style>
  <w:style w:type="paragraph" w:styleId="FootnoteText">
    <w:name w:val="footnote text"/>
    <w:aliases w:val="Footnote Text Char2,Footnote Text Char1 Char,Footnote Text Char3 Char Char,Footnote Text Char2 Char Char Char,Footnote Text Char1 Char1 Char Char Char,ft Char1 Char Char Char Char,Footnote Text Char1 Char Char Char Char Char,ft,f"/>
    <w:basedOn w:val="Normal"/>
    <w:link w:val="FootnoteTextChar"/>
    <w:uiPriority w:val="99"/>
    <w:rsid w:val="00027DF3"/>
    <w:pPr>
      <w:tabs>
        <w:tab w:val="clear" w:pos="850"/>
        <w:tab w:val="clear" w:pos="1191"/>
        <w:tab w:val="clear" w:pos="1531"/>
      </w:tabs>
      <w:spacing w:after="120"/>
      <w:ind w:left="680" w:right="680"/>
    </w:pPr>
    <w:rPr>
      <w:rFonts w:eastAsia="SimSun"/>
      <w:sz w:val="20"/>
    </w:rPr>
  </w:style>
  <w:style w:type="character" w:customStyle="1" w:styleId="FootnoteTextChar">
    <w:name w:val="Footnote Text Char"/>
    <w:aliases w:val="Footnote Text Char2 Char,Footnote Text Char1 Char Char,Footnote Text Char3 Char Char Char,Footnote Text Char2 Char Char Char Char,Footnote Text Char1 Char1 Char Char Char Char,ft Char1 Char Char Char Char Char,ft Char,f Char"/>
    <w:basedOn w:val="DefaultParagraphFont"/>
    <w:link w:val="FootnoteText"/>
    <w:uiPriority w:val="99"/>
    <w:rsid w:val="00027DF3"/>
    <w:rPr>
      <w:rFonts w:ascii="Times New Roman" w:eastAsia="SimSun" w:hAnsi="Times New Roman"/>
      <w:lang w:val="en-GB"/>
    </w:rPr>
  </w:style>
  <w:style w:type="paragraph" w:styleId="Index1">
    <w:name w:val="index 1"/>
    <w:basedOn w:val="Normal"/>
    <w:next w:val="Normal"/>
    <w:semiHidden/>
    <w:rsid w:val="00156910"/>
    <w:pPr>
      <w:tabs>
        <w:tab w:val="clear" w:pos="850"/>
        <w:tab w:val="clear" w:pos="1191"/>
        <w:tab w:val="clear" w:pos="1531"/>
      </w:tabs>
      <w:ind w:left="220" w:hanging="220"/>
    </w:pPr>
    <w:rPr>
      <w:rFonts w:eastAsia="SimSun"/>
    </w:rPr>
  </w:style>
  <w:style w:type="paragraph" w:styleId="IndexHeading">
    <w:name w:val="index heading"/>
    <w:basedOn w:val="Normal"/>
    <w:next w:val="BodyText"/>
    <w:semiHidden/>
    <w:rsid w:val="00156910"/>
    <w:pPr>
      <w:keepNext/>
      <w:tabs>
        <w:tab w:val="clear" w:pos="850"/>
        <w:tab w:val="clear" w:pos="1191"/>
        <w:tab w:val="clear" w:pos="1531"/>
      </w:tabs>
      <w:spacing w:before="1200" w:after="720"/>
      <w:jc w:val="center"/>
    </w:pPr>
    <w:rPr>
      <w:rFonts w:eastAsia="SimSun"/>
      <w:b/>
      <w:bCs/>
      <w:caps/>
    </w:rPr>
  </w:style>
  <w:style w:type="paragraph" w:styleId="List">
    <w:name w:val="List"/>
    <w:basedOn w:val="Normal"/>
    <w:semiHidden/>
    <w:rsid w:val="00156910"/>
    <w:pPr>
      <w:tabs>
        <w:tab w:val="clear" w:pos="850"/>
        <w:tab w:val="clear" w:pos="1191"/>
        <w:tab w:val="clear" w:pos="1531"/>
      </w:tabs>
      <w:ind w:left="850" w:hanging="283"/>
    </w:pPr>
    <w:rPr>
      <w:rFonts w:eastAsia="SimSun"/>
    </w:rPr>
  </w:style>
  <w:style w:type="paragraph" w:styleId="List2">
    <w:name w:val="List 2"/>
    <w:basedOn w:val="Normal"/>
    <w:semiHidden/>
    <w:rsid w:val="00156910"/>
    <w:pPr>
      <w:tabs>
        <w:tab w:val="clear" w:pos="850"/>
        <w:tab w:val="clear" w:pos="1191"/>
        <w:tab w:val="clear" w:pos="1531"/>
      </w:tabs>
      <w:ind w:left="1134" w:hanging="283"/>
    </w:pPr>
    <w:rPr>
      <w:rFonts w:eastAsia="SimSun"/>
    </w:rPr>
  </w:style>
  <w:style w:type="paragraph" w:styleId="List3">
    <w:name w:val="List 3"/>
    <w:basedOn w:val="Normal"/>
    <w:semiHidden/>
    <w:rsid w:val="00156910"/>
    <w:pPr>
      <w:tabs>
        <w:tab w:val="clear" w:pos="850"/>
        <w:tab w:val="clear" w:pos="1191"/>
        <w:tab w:val="clear" w:pos="1531"/>
      </w:tabs>
      <w:ind w:left="1417" w:hanging="283"/>
    </w:pPr>
    <w:rPr>
      <w:rFonts w:eastAsia="SimSun"/>
    </w:rPr>
  </w:style>
  <w:style w:type="paragraph" w:styleId="List4">
    <w:name w:val="List 4"/>
    <w:basedOn w:val="Normal"/>
    <w:semiHidden/>
    <w:rsid w:val="00156910"/>
    <w:pPr>
      <w:tabs>
        <w:tab w:val="clear" w:pos="850"/>
        <w:tab w:val="clear" w:pos="1191"/>
        <w:tab w:val="clear" w:pos="1531"/>
      </w:tabs>
      <w:jc w:val="left"/>
    </w:pPr>
    <w:rPr>
      <w:rFonts w:eastAsia="SimSun"/>
    </w:rPr>
  </w:style>
  <w:style w:type="paragraph" w:styleId="List5">
    <w:name w:val="List 5"/>
    <w:basedOn w:val="Normal"/>
    <w:semiHidden/>
    <w:rsid w:val="00156910"/>
    <w:pPr>
      <w:tabs>
        <w:tab w:val="clear" w:pos="850"/>
        <w:tab w:val="clear" w:pos="1191"/>
        <w:tab w:val="clear" w:pos="1531"/>
      </w:tabs>
      <w:ind w:left="1984" w:hanging="283"/>
    </w:pPr>
    <w:rPr>
      <w:rFonts w:eastAsia="SimSun"/>
    </w:rPr>
  </w:style>
  <w:style w:type="paragraph" w:styleId="ListBullet">
    <w:name w:val="List Bullet"/>
    <w:basedOn w:val="Normal"/>
    <w:semiHidden/>
    <w:rsid w:val="00156910"/>
    <w:pPr>
      <w:numPr>
        <w:numId w:val="5"/>
      </w:numPr>
      <w:tabs>
        <w:tab w:val="clear" w:pos="850"/>
        <w:tab w:val="clear" w:pos="1191"/>
        <w:tab w:val="clear" w:pos="1531"/>
        <w:tab w:val="left" w:pos="567"/>
      </w:tabs>
      <w:ind w:left="567" w:hanging="227"/>
    </w:pPr>
    <w:rPr>
      <w:rFonts w:eastAsia="SimSun"/>
    </w:rPr>
  </w:style>
  <w:style w:type="paragraph" w:styleId="ListBullet2">
    <w:name w:val="List Bullet 2"/>
    <w:basedOn w:val="Normal"/>
    <w:semiHidden/>
    <w:rsid w:val="00156910"/>
    <w:pPr>
      <w:numPr>
        <w:numId w:val="6"/>
      </w:numPr>
      <w:tabs>
        <w:tab w:val="clear" w:pos="850"/>
        <w:tab w:val="clear" w:pos="1531"/>
      </w:tabs>
    </w:pPr>
    <w:rPr>
      <w:rFonts w:eastAsia="SimSun"/>
    </w:rPr>
  </w:style>
  <w:style w:type="paragraph" w:styleId="ListBullet3">
    <w:name w:val="List Bullet 3"/>
    <w:basedOn w:val="Normal"/>
    <w:semiHidden/>
    <w:rsid w:val="00156910"/>
    <w:pPr>
      <w:numPr>
        <w:numId w:val="7"/>
      </w:numPr>
      <w:tabs>
        <w:tab w:val="clear" w:pos="850"/>
        <w:tab w:val="clear" w:pos="1191"/>
        <w:tab w:val="clear" w:pos="1531"/>
      </w:tabs>
    </w:pPr>
    <w:rPr>
      <w:rFonts w:eastAsia="SimSun"/>
    </w:rPr>
  </w:style>
  <w:style w:type="paragraph" w:styleId="ListBullet4">
    <w:name w:val="List Bullet 4"/>
    <w:basedOn w:val="Normal"/>
    <w:semiHidden/>
    <w:rsid w:val="00156910"/>
    <w:pPr>
      <w:numPr>
        <w:numId w:val="8"/>
      </w:numPr>
      <w:tabs>
        <w:tab w:val="clear" w:pos="850"/>
        <w:tab w:val="clear" w:pos="1191"/>
        <w:tab w:val="clear" w:pos="1531"/>
      </w:tabs>
    </w:pPr>
    <w:rPr>
      <w:rFonts w:eastAsia="SimSun"/>
    </w:rPr>
  </w:style>
  <w:style w:type="paragraph" w:styleId="ListBullet5">
    <w:name w:val="List Bullet 5"/>
    <w:basedOn w:val="Normal"/>
    <w:semiHidden/>
    <w:rsid w:val="00156910"/>
    <w:pPr>
      <w:numPr>
        <w:numId w:val="9"/>
      </w:numPr>
      <w:tabs>
        <w:tab w:val="clear" w:pos="850"/>
        <w:tab w:val="clear" w:pos="1191"/>
        <w:tab w:val="clear" w:pos="1531"/>
      </w:tabs>
    </w:pPr>
    <w:rPr>
      <w:rFonts w:eastAsia="SimSun"/>
    </w:rPr>
  </w:style>
  <w:style w:type="paragraph" w:styleId="ListContinue">
    <w:name w:val="List Continue"/>
    <w:basedOn w:val="Normal"/>
    <w:semiHidden/>
    <w:rsid w:val="00156910"/>
    <w:pPr>
      <w:tabs>
        <w:tab w:val="clear" w:pos="850"/>
        <w:tab w:val="clear" w:pos="1191"/>
        <w:tab w:val="clear" w:pos="1531"/>
      </w:tabs>
      <w:ind w:left="850"/>
    </w:pPr>
    <w:rPr>
      <w:rFonts w:eastAsia="SimSun"/>
    </w:rPr>
  </w:style>
  <w:style w:type="paragraph" w:styleId="ListContinue2">
    <w:name w:val="List Continue 2"/>
    <w:basedOn w:val="Normal"/>
    <w:semiHidden/>
    <w:rsid w:val="00156910"/>
    <w:pPr>
      <w:tabs>
        <w:tab w:val="clear" w:pos="850"/>
        <w:tab w:val="clear" w:pos="1191"/>
        <w:tab w:val="clear" w:pos="1531"/>
      </w:tabs>
      <w:ind w:left="1191"/>
    </w:pPr>
    <w:rPr>
      <w:rFonts w:eastAsia="SimSun"/>
    </w:rPr>
  </w:style>
  <w:style w:type="paragraph" w:styleId="ListContinue3">
    <w:name w:val="List Continue 3"/>
    <w:basedOn w:val="Normal"/>
    <w:semiHidden/>
    <w:rsid w:val="00156910"/>
    <w:pPr>
      <w:tabs>
        <w:tab w:val="clear" w:pos="850"/>
        <w:tab w:val="clear" w:pos="1191"/>
        <w:tab w:val="clear" w:pos="1531"/>
      </w:tabs>
      <w:ind w:left="1474"/>
    </w:pPr>
    <w:rPr>
      <w:rFonts w:eastAsia="SimSun"/>
    </w:rPr>
  </w:style>
  <w:style w:type="paragraph" w:styleId="ListContinue4">
    <w:name w:val="List Continue 4"/>
    <w:basedOn w:val="Normal"/>
    <w:semiHidden/>
    <w:rsid w:val="00156910"/>
    <w:pPr>
      <w:tabs>
        <w:tab w:val="clear" w:pos="850"/>
        <w:tab w:val="clear" w:pos="1191"/>
        <w:tab w:val="clear" w:pos="1531"/>
      </w:tabs>
      <w:ind w:left="1757"/>
    </w:pPr>
    <w:rPr>
      <w:rFonts w:eastAsia="SimSun"/>
    </w:rPr>
  </w:style>
  <w:style w:type="paragraph" w:styleId="ListContinue5">
    <w:name w:val="List Continue 5"/>
    <w:basedOn w:val="Normal"/>
    <w:semiHidden/>
    <w:rsid w:val="00156910"/>
    <w:pPr>
      <w:tabs>
        <w:tab w:val="clear" w:pos="850"/>
        <w:tab w:val="clear" w:pos="1191"/>
        <w:tab w:val="clear" w:pos="1531"/>
      </w:tabs>
      <w:ind w:left="2041"/>
    </w:pPr>
    <w:rPr>
      <w:rFonts w:eastAsia="SimSun"/>
    </w:rPr>
  </w:style>
  <w:style w:type="paragraph" w:styleId="ListNumber">
    <w:name w:val="List Number"/>
    <w:basedOn w:val="Normal"/>
    <w:semiHidden/>
    <w:rsid w:val="00156910"/>
    <w:pPr>
      <w:numPr>
        <w:numId w:val="10"/>
      </w:numPr>
      <w:tabs>
        <w:tab w:val="clear" w:pos="850"/>
        <w:tab w:val="clear" w:pos="1191"/>
        <w:tab w:val="clear" w:pos="1531"/>
        <w:tab w:val="left" w:pos="1134"/>
      </w:tabs>
    </w:pPr>
    <w:rPr>
      <w:rFonts w:eastAsia="SimSun"/>
    </w:rPr>
  </w:style>
  <w:style w:type="paragraph" w:styleId="ListNumber2">
    <w:name w:val="List Number 2"/>
    <w:basedOn w:val="Normal"/>
    <w:semiHidden/>
    <w:rsid w:val="00156910"/>
    <w:pPr>
      <w:numPr>
        <w:ilvl w:val="1"/>
        <w:numId w:val="10"/>
      </w:numPr>
      <w:tabs>
        <w:tab w:val="clear" w:pos="850"/>
        <w:tab w:val="clear" w:pos="1191"/>
        <w:tab w:val="clear" w:pos="1531"/>
        <w:tab w:val="left" w:pos="1417"/>
      </w:tabs>
    </w:pPr>
    <w:rPr>
      <w:rFonts w:eastAsia="SimSun"/>
    </w:rPr>
  </w:style>
  <w:style w:type="paragraph" w:styleId="ListNumber3">
    <w:name w:val="List Number 3"/>
    <w:basedOn w:val="Normal"/>
    <w:semiHidden/>
    <w:rsid w:val="00156910"/>
    <w:pPr>
      <w:numPr>
        <w:ilvl w:val="2"/>
        <w:numId w:val="10"/>
      </w:numPr>
      <w:tabs>
        <w:tab w:val="clear" w:pos="850"/>
        <w:tab w:val="clear" w:pos="1191"/>
        <w:tab w:val="clear" w:pos="1531"/>
        <w:tab w:val="left" w:pos="1701"/>
      </w:tabs>
    </w:pPr>
    <w:rPr>
      <w:rFonts w:eastAsia="SimSun"/>
    </w:rPr>
  </w:style>
  <w:style w:type="paragraph" w:styleId="ListNumber4">
    <w:name w:val="List Number 4"/>
    <w:basedOn w:val="Normal"/>
    <w:semiHidden/>
    <w:rsid w:val="004E755A"/>
    <w:pPr>
      <w:tabs>
        <w:tab w:val="clear" w:pos="850"/>
        <w:tab w:val="clear" w:pos="1191"/>
        <w:tab w:val="clear" w:pos="1531"/>
        <w:tab w:val="left" w:pos="1984"/>
      </w:tabs>
    </w:pPr>
    <w:rPr>
      <w:rFonts w:eastAsia="SimSun"/>
    </w:rPr>
  </w:style>
  <w:style w:type="paragraph" w:styleId="ListNumber5">
    <w:name w:val="List Number 5"/>
    <w:basedOn w:val="Normal"/>
    <w:semiHidden/>
    <w:rsid w:val="00156910"/>
    <w:pPr>
      <w:numPr>
        <w:ilvl w:val="4"/>
        <w:numId w:val="10"/>
      </w:numPr>
      <w:tabs>
        <w:tab w:val="clear" w:pos="850"/>
        <w:tab w:val="clear" w:pos="1191"/>
        <w:tab w:val="clear" w:pos="1531"/>
        <w:tab w:val="left" w:pos="2268"/>
      </w:tabs>
    </w:pPr>
    <w:rPr>
      <w:rFonts w:eastAsia="SimSun"/>
    </w:rPr>
  </w:style>
  <w:style w:type="paragraph" w:customStyle="1" w:styleId="Sourcenotes">
    <w:name w:val="Source &amp; notes"/>
    <w:basedOn w:val="Normal"/>
    <w:uiPriority w:val="9"/>
    <w:qFormat/>
    <w:rsid w:val="00517792"/>
    <w:pPr>
      <w:keepLines/>
      <w:tabs>
        <w:tab w:val="clear" w:pos="850"/>
        <w:tab w:val="clear" w:pos="1191"/>
        <w:tab w:val="clear" w:pos="1531"/>
      </w:tabs>
      <w:spacing w:before="120" w:after="240"/>
      <w:ind w:left="680" w:right="680"/>
      <w:contextualSpacing/>
    </w:pPr>
    <w:rPr>
      <w:rFonts w:eastAsia="SimSun" w:cs="Arial"/>
      <w:sz w:val="18"/>
      <w:szCs w:val="18"/>
    </w:rPr>
  </w:style>
  <w:style w:type="paragraph" w:styleId="BlockText">
    <w:name w:val="Block Text"/>
    <w:basedOn w:val="Normal"/>
    <w:semiHidden/>
    <w:rsid w:val="00156910"/>
    <w:pPr>
      <w:tabs>
        <w:tab w:val="clear" w:pos="850"/>
        <w:tab w:val="clear" w:pos="1191"/>
        <w:tab w:val="clear" w:pos="1531"/>
      </w:tabs>
      <w:spacing w:after="120"/>
      <w:ind w:left="1440" w:right="1440"/>
    </w:pPr>
    <w:rPr>
      <w:rFonts w:eastAsia="SimSun"/>
    </w:rPr>
  </w:style>
  <w:style w:type="numbering" w:customStyle="1" w:styleId="NumberedNote">
    <w:name w:val="Numbered Note"/>
    <w:basedOn w:val="NoList"/>
    <w:rsid w:val="00156910"/>
    <w:pPr>
      <w:numPr>
        <w:numId w:val="1"/>
      </w:numPr>
    </w:pPr>
  </w:style>
  <w:style w:type="numbering" w:customStyle="1" w:styleId="BulletedNote">
    <w:name w:val="Bulleted Note"/>
    <w:basedOn w:val="NoList"/>
    <w:rsid w:val="00156910"/>
    <w:pPr>
      <w:numPr>
        <w:numId w:val="2"/>
      </w:numPr>
    </w:pPr>
  </w:style>
  <w:style w:type="numbering" w:customStyle="1" w:styleId="NumericNote">
    <w:name w:val="Numeric Note"/>
    <w:basedOn w:val="NoList"/>
    <w:rsid w:val="00156910"/>
    <w:pPr>
      <w:numPr>
        <w:numId w:val="3"/>
      </w:numPr>
    </w:pPr>
  </w:style>
  <w:style w:type="numbering" w:customStyle="1" w:styleId="AlphaNote">
    <w:name w:val="Alpha Note"/>
    <w:basedOn w:val="NoList"/>
    <w:rsid w:val="00156910"/>
    <w:pPr>
      <w:numPr>
        <w:numId w:val="4"/>
      </w:numPr>
    </w:pPr>
  </w:style>
  <w:style w:type="paragraph" w:styleId="EnvelopeAddress">
    <w:name w:val="envelope address"/>
    <w:basedOn w:val="Normal"/>
    <w:semiHidden/>
    <w:rsid w:val="00156910"/>
    <w:pPr>
      <w:framePr w:w="7938" w:h="1985" w:hRule="exact" w:hSpace="141" w:wrap="auto" w:hAnchor="page" w:xAlign="center" w:yAlign="bottom"/>
      <w:tabs>
        <w:tab w:val="clear" w:pos="850"/>
        <w:tab w:val="clear" w:pos="1191"/>
        <w:tab w:val="clear" w:pos="1531"/>
      </w:tabs>
      <w:ind w:left="2835"/>
    </w:pPr>
    <w:rPr>
      <w:rFonts w:ascii="Arial" w:eastAsia="SimSun" w:hAnsi="Arial" w:cs="Arial"/>
      <w:sz w:val="24"/>
      <w:szCs w:val="24"/>
    </w:rPr>
  </w:style>
  <w:style w:type="paragraph" w:styleId="EnvelopeReturn">
    <w:name w:val="envelope return"/>
    <w:basedOn w:val="Normal"/>
    <w:semiHidden/>
    <w:rsid w:val="00156910"/>
    <w:pPr>
      <w:tabs>
        <w:tab w:val="clear" w:pos="850"/>
        <w:tab w:val="clear" w:pos="1191"/>
        <w:tab w:val="clear" w:pos="1531"/>
      </w:tabs>
    </w:pPr>
    <w:rPr>
      <w:rFonts w:ascii="Arial" w:eastAsia="SimSun" w:hAnsi="Arial" w:cs="Arial"/>
    </w:rPr>
  </w:style>
  <w:style w:type="paragraph" w:styleId="HTMLAddress">
    <w:name w:val="HTML Address"/>
    <w:basedOn w:val="Normal"/>
    <w:link w:val="HTMLAddressChar"/>
    <w:semiHidden/>
    <w:rsid w:val="00156910"/>
    <w:pPr>
      <w:tabs>
        <w:tab w:val="clear" w:pos="850"/>
        <w:tab w:val="clear" w:pos="1191"/>
        <w:tab w:val="clear" w:pos="1531"/>
      </w:tabs>
    </w:pPr>
    <w:rPr>
      <w:rFonts w:eastAsia="SimSun"/>
      <w:i/>
      <w:iCs/>
    </w:rPr>
  </w:style>
  <w:style w:type="character" w:customStyle="1" w:styleId="HTMLAddressChar">
    <w:name w:val="HTML Address Char"/>
    <w:basedOn w:val="DefaultParagraphFont"/>
    <w:link w:val="HTMLAddress"/>
    <w:semiHidden/>
    <w:rsid w:val="0074276B"/>
    <w:rPr>
      <w:rFonts w:eastAsia="SimSun"/>
      <w:i/>
      <w:iCs/>
    </w:rPr>
  </w:style>
  <w:style w:type="paragraph" w:styleId="CommentText">
    <w:name w:val="annotation text"/>
    <w:basedOn w:val="Normal"/>
    <w:link w:val="CommentTextChar"/>
    <w:uiPriority w:val="99"/>
    <w:rsid w:val="00156910"/>
    <w:pPr>
      <w:tabs>
        <w:tab w:val="clear" w:pos="850"/>
        <w:tab w:val="clear" w:pos="1191"/>
        <w:tab w:val="clear" w:pos="1531"/>
      </w:tabs>
    </w:pPr>
    <w:rPr>
      <w:rFonts w:eastAsia="SimSun"/>
    </w:rPr>
  </w:style>
  <w:style w:type="character" w:customStyle="1" w:styleId="CommentTextChar">
    <w:name w:val="Comment Text Char"/>
    <w:basedOn w:val="DefaultParagraphFont"/>
    <w:link w:val="CommentText"/>
    <w:uiPriority w:val="99"/>
    <w:rsid w:val="00156910"/>
    <w:rPr>
      <w:rFonts w:ascii="Georgia" w:eastAsia="SimSun" w:hAnsi="Georgia"/>
    </w:rPr>
  </w:style>
  <w:style w:type="paragraph" w:styleId="BodyText2">
    <w:name w:val="Body Text 2"/>
    <w:basedOn w:val="Normal"/>
    <w:link w:val="BodyText2Char"/>
    <w:semiHidden/>
    <w:rsid w:val="00156910"/>
    <w:pPr>
      <w:tabs>
        <w:tab w:val="clear" w:pos="850"/>
        <w:tab w:val="clear" w:pos="1191"/>
        <w:tab w:val="clear" w:pos="1531"/>
      </w:tabs>
      <w:spacing w:after="120" w:line="480" w:lineRule="auto"/>
    </w:pPr>
    <w:rPr>
      <w:rFonts w:eastAsia="SimSun"/>
    </w:rPr>
  </w:style>
  <w:style w:type="character" w:customStyle="1" w:styleId="BodyText2Char">
    <w:name w:val="Body Text 2 Char"/>
    <w:basedOn w:val="DefaultParagraphFont"/>
    <w:link w:val="BodyText2"/>
    <w:semiHidden/>
    <w:rsid w:val="0074276B"/>
    <w:rPr>
      <w:rFonts w:eastAsia="SimSun"/>
    </w:rPr>
  </w:style>
  <w:style w:type="paragraph" w:styleId="BodyText3">
    <w:name w:val="Body Text 3"/>
    <w:basedOn w:val="Normal"/>
    <w:link w:val="BodyText3Char"/>
    <w:semiHidden/>
    <w:rsid w:val="00156910"/>
    <w:pPr>
      <w:tabs>
        <w:tab w:val="clear" w:pos="850"/>
        <w:tab w:val="clear" w:pos="1191"/>
        <w:tab w:val="clear" w:pos="1531"/>
      </w:tabs>
      <w:spacing w:after="120"/>
    </w:pPr>
    <w:rPr>
      <w:rFonts w:eastAsia="SimSun"/>
      <w:sz w:val="16"/>
      <w:szCs w:val="16"/>
    </w:rPr>
  </w:style>
  <w:style w:type="character" w:customStyle="1" w:styleId="BodyText3Char">
    <w:name w:val="Body Text 3 Char"/>
    <w:basedOn w:val="DefaultParagraphFont"/>
    <w:link w:val="BodyText3"/>
    <w:semiHidden/>
    <w:rsid w:val="0074276B"/>
    <w:rPr>
      <w:rFonts w:eastAsia="SimSun"/>
      <w:sz w:val="16"/>
      <w:szCs w:val="16"/>
    </w:rPr>
  </w:style>
  <w:style w:type="paragraph" w:styleId="Date">
    <w:name w:val="Date"/>
    <w:basedOn w:val="Normal"/>
    <w:next w:val="Normal"/>
    <w:link w:val="DateChar"/>
    <w:unhideWhenUsed/>
    <w:rsid w:val="00156910"/>
    <w:pPr>
      <w:tabs>
        <w:tab w:val="clear" w:pos="850"/>
        <w:tab w:val="clear" w:pos="1191"/>
        <w:tab w:val="clear" w:pos="1531"/>
      </w:tabs>
    </w:pPr>
    <w:rPr>
      <w:rFonts w:eastAsia="SimSun"/>
    </w:rPr>
  </w:style>
  <w:style w:type="character" w:customStyle="1" w:styleId="DateChar">
    <w:name w:val="Date Char"/>
    <w:basedOn w:val="DefaultParagraphFont"/>
    <w:link w:val="Date"/>
    <w:rsid w:val="0074276B"/>
    <w:rPr>
      <w:rFonts w:eastAsia="SimSun"/>
    </w:rPr>
  </w:style>
  <w:style w:type="paragraph" w:styleId="MessageHeader">
    <w:name w:val="Message Header"/>
    <w:basedOn w:val="Normal"/>
    <w:link w:val="MessageHeaderChar"/>
    <w:semiHidden/>
    <w:rsid w:val="00156910"/>
    <w:pPr>
      <w:pBdr>
        <w:top w:val="single" w:sz="6" w:space="1" w:color="auto"/>
        <w:left w:val="single" w:sz="6" w:space="1" w:color="auto"/>
        <w:bottom w:val="single" w:sz="6" w:space="1" w:color="auto"/>
        <w:right w:val="single" w:sz="6" w:space="1" w:color="auto"/>
      </w:pBdr>
      <w:shd w:val="pct20" w:color="auto" w:fill="auto"/>
      <w:tabs>
        <w:tab w:val="clear" w:pos="850"/>
        <w:tab w:val="clear" w:pos="1191"/>
        <w:tab w:val="clear" w:pos="1531"/>
      </w:tabs>
      <w:ind w:left="1134" w:hanging="1134"/>
    </w:pPr>
    <w:rPr>
      <w:rFonts w:ascii="Arial" w:eastAsia="SimSun" w:hAnsi="Arial" w:cs="Arial"/>
      <w:sz w:val="24"/>
      <w:szCs w:val="24"/>
    </w:rPr>
  </w:style>
  <w:style w:type="character" w:customStyle="1" w:styleId="MessageHeaderChar">
    <w:name w:val="Message Header Char"/>
    <w:basedOn w:val="DefaultParagraphFont"/>
    <w:link w:val="MessageHeader"/>
    <w:semiHidden/>
    <w:rsid w:val="0074276B"/>
    <w:rPr>
      <w:rFonts w:ascii="Arial" w:eastAsia="SimSun" w:hAnsi="Arial" w:cs="Arial"/>
      <w:sz w:val="24"/>
      <w:szCs w:val="24"/>
      <w:shd w:val="pct20" w:color="auto" w:fill="auto"/>
    </w:rPr>
  </w:style>
  <w:style w:type="paragraph" w:styleId="DocumentMap">
    <w:name w:val="Document Map"/>
    <w:basedOn w:val="Normal"/>
    <w:link w:val="DocumentMapChar"/>
    <w:semiHidden/>
    <w:rsid w:val="00156910"/>
    <w:pPr>
      <w:shd w:val="clear" w:color="auto" w:fill="000080"/>
      <w:tabs>
        <w:tab w:val="clear" w:pos="850"/>
        <w:tab w:val="clear" w:pos="1191"/>
        <w:tab w:val="clear" w:pos="1531"/>
      </w:tabs>
    </w:pPr>
    <w:rPr>
      <w:rFonts w:eastAsia="SimSun" w:cs="Tahoma"/>
    </w:rPr>
  </w:style>
  <w:style w:type="character" w:customStyle="1" w:styleId="DocumentMapChar">
    <w:name w:val="Document Map Char"/>
    <w:basedOn w:val="DefaultParagraphFont"/>
    <w:link w:val="DocumentMap"/>
    <w:semiHidden/>
    <w:rsid w:val="00156910"/>
    <w:rPr>
      <w:rFonts w:ascii="Georgia" w:eastAsia="SimSun" w:hAnsi="Georgia" w:cs="Tahoma"/>
      <w:shd w:val="clear" w:color="auto" w:fill="000080"/>
    </w:rPr>
  </w:style>
  <w:style w:type="paragraph" w:styleId="Closing">
    <w:name w:val="Closing"/>
    <w:basedOn w:val="Normal"/>
    <w:link w:val="ClosingChar"/>
    <w:semiHidden/>
    <w:rsid w:val="00156910"/>
    <w:pPr>
      <w:tabs>
        <w:tab w:val="clear" w:pos="850"/>
        <w:tab w:val="clear" w:pos="1191"/>
        <w:tab w:val="clear" w:pos="1531"/>
      </w:tabs>
      <w:ind w:left="4252"/>
    </w:pPr>
    <w:rPr>
      <w:rFonts w:eastAsia="SimSun"/>
    </w:rPr>
  </w:style>
  <w:style w:type="character" w:customStyle="1" w:styleId="ClosingChar">
    <w:name w:val="Closing Char"/>
    <w:basedOn w:val="DefaultParagraphFont"/>
    <w:link w:val="Closing"/>
    <w:semiHidden/>
    <w:rsid w:val="0074276B"/>
    <w:rPr>
      <w:rFonts w:eastAsia="SimSun"/>
    </w:rPr>
  </w:style>
  <w:style w:type="paragraph" w:styleId="Index2">
    <w:name w:val="index 2"/>
    <w:basedOn w:val="Normal"/>
    <w:next w:val="Normal"/>
    <w:semiHidden/>
    <w:rsid w:val="00156910"/>
    <w:pPr>
      <w:tabs>
        <w:tab w:val="clear" w:pos="850"/>
        <w:tab w:val="clear" w:pos="1191"/>
        <w:tab w:val="clear" w:pos="1531"/>
      </w:tabs>
      <w:ind w:left="440" w:hanging="220"/>
    </w:pPr>
    <w:rPr>
      <w:rFonts w:eastAsia="SimSun"/>
    </w:rPr>
  </w:style>
  <w:style w:type="paragraph" w:styleId="Index3">
    <w:name w:val="index 3"/>
    <w:basedOn w:val="Normal"/>
    <w:next w:val="Normal"/>
    <w:semiHidden/>
    <w:rsid w:val="00156910"/>
    <w:pPr>
      <w:tabs>
        <w:tab w:val="clear" w:pos="850"/>
        <w:tab w:val="clear" w:pos="1191"/>
        <w:tab w:val="clear" w:pos="1531"/>
      </w:tabs>
      <w:ind w:left="660" w:hanging="220"/>
    </w:pPr>
    <w:rPr>
      <w:rFonts w:eastAsia="SimSun"/>
    </w:rPr>
  </w:style>
  <w:style w:type="paragraph" w:styleId="Index4">
    <w:name w:val="index 4"/>
    <w:basedOn w:val="Normal"/>
    <w:next w:val="Normal"/>
    <w:semiHidden/>
    <w:rsid w:val="00156910"/>
    <w:pPr>
      <w:tabs>
        <w:tab w:val="clear" w:pos="850"/>
        <w:tab w:val="clear" w:pos="1191"/>
        <w:tab w:val="clear" w:pos="1531"/>
      </w:tabs>
      <w:ind w:left="880" w:hanging="220"/>
    </w:pPr>
    <w:rPr>
      <w:rFonts w:eastAsia="SimSun"/>
    </w:rPr>
  </w:style>
  <w:style w:type="paragraph" w:styleId="Index5">
    <w:name w:val="index 5"/>
    <w:basedOn w:val="Normal"/>
    <w:next w:val="Normal"/>
    <w:semiHidden/>
    <w:rsid w:val="00156910"/>
    <w:pPr>
      <w:tabs>
        <w:tab w:val="clear" w:pos="850"/>
        <w:tab w:val="clear" w:pos="1191"/>
        <w:tab w:val="clear" w:pos="1531"/>
      </w:tabs>
      <w:ind w:left="1100" w:hanging="220"/>
    </w:pPr>
    <w:rPr>
      <w:rFonts w:eastAsia="SimSun"/>
    </w:rPr>
  </w:style>
  <w:style w:type="paragraph" w:styleId="Index6">
    <w:name w:val="index 6"/>
    <w:basedOn w:val="Normal"/>
    <w:next w:val="Normal"/>
    <w:semiHidden/>
    <w:rsid w:val="00156910"/>
    <w:pPr>
      <w:tabs>
        <w:tab w:val="clear" w:pos="850"/>
        <w:tab w:val="clear" w:pos="1191"/>
        <w:tab w:val="clear" w:pos="1531"/>
      </w:tabs>
      <w:ind w:left="1320" w:hanging="220"/>
    </w:pPr>
    <w:rPr>
      <w:rFonts w:eastAsia="SimSun"/>
    </w:rPr>
  </w:style>
  <w:style w:type="paragraph" w:styleId="Index7">
    <w:name w:val="index 7"/>
    <w:basedOn w:val="Normal"/>
    <w:next w:val="Normal"/>
    <w:semiHidden/>
    <w:rsid w:val="00156910"/>
    <w:pPr>
      <w:tabs>
        <w:tab w:val="clear" w:pos="850"/>
        <w:tab w:val="clear" w:pos="1191"/>
        <w:tab w:val="clear" w:pos="1531"/>
      </w:tabs>
      <w:ind w:left="1540" w:hanging="220"/>
    </w:pPr>
    <w:rPr>
      <w:rFonts w:eastAsia="SimSun"/>
    </w:rPr>
  </w:style>
  <w:style w:type="paragraph" w:styleId="Index8">
    <w:name w:val="index 8"/>
    <w:basedOn w:val="Normal"/>
    <w:next w:val="Normal"/>
    <w:semiHidden/>
    <w:rsid w:val="00156910"/>
    <w:pPr>
      <w:tabs>
        <w:tab w:val="clear" w:pos="850"/>
        <w:tab w:val="clear" w:pos="1191"/>
        <w:tab w:val="clear" w:pos="1531"/>
      </w:tabs>
      <w:ind w:left="1760" w:hanging="220"/>
    </w:pPr>
    <w:rPr>
      <w:rFonts w:eastAsia="SimSun"/>
    </w:rPr>
  </w:style>
  <w:style w:type="paragraph" w:styleId="Index9">
    <w:name w:val="index 9"/>
    <w:basedOn w:val="Normal"/>
    <w:next w:val="Normal"/>
    <w:semiHidden/>
    <w:rsid w:val="00156910"/>
    <w:pPr>
      <w:tabs>
        <w:tab w:val="clear" w:pos="850"/>
        <w:tab w:val="clear" w:pos="1191"/>
        <w:tab w:val="clear" w:pos="1531"/>
      </w:tabs>
      <w:ind w:left="1980" w:hanging="220"/>
    </w:pPr>
    <w:rPr>
      <w:rFonts w:eastAsia="SimSun"/>
    </w:rPr>
  </w:style>
  <w:style w:type="paragraph" w:styleId="NormalWeb">
    <w:name w:val="Normal (Web)"/>
    <w:basedOn w:val="Normal"/>
    <w:uiPriority w:val="99"/>
    <w:rsid w:val="00156910"/>
    <w:pPr>
      <w:tabs>
        <w:tab w:val="clear" w:pos="850"/>
        <w:tab w:val="clear" w:pos="1191"/>
        <w:tab w:val="clear" w:pos="1531"/>
      </w:tabs>
    </w:pPr>
    <w:rPr>
      <w:rFonts w:eastAsia="SimSun"/>
      <w:sz w:val="24"/>
      <w:szCs w:val="24"/>
    </w:rPr>
  </w:style>
  <w:style w:type="paragraph" w:styleId="CommentSubject">
    <w:name w:val="annotation subject"/>
    <w:basedOn w:val="CommentText"/>
    <w:next w:val="CommentText"/>
    <w:link w:val="CommentSubjectChar"/>
    <w:uiPriority w:val="99"/>
    <w:semiHidden/>
    <w:rsid w:val="00156910"/>
    <w:rPr>
      <w:b/>
      <w:bCs/>
    </w:rPr>
  </w:style>
  <w:style w:type="character" w:customStyle="1" w:styleId="CommentSubjectChar">
    <w:name w:val="Comment Subject Char"/>
    <w:basedOn w:val="CommentTextChar"/>
    <w:link w:val="CommentSubject"/>
    <w:uiPriority w:val="99"/>
    <w:semiHidden/>
    <w:rsid w:val="00156910"/>
    <w:rPr>
      <w:rFonts w:ascii="Georgia" w:eastAsia="SimSun" w:hAnsi="Georgia"/>
      <w:b/>
      <w:bCs/>
    </w:rPr>
  </w:style>
  <w:style w:type="paragraph" w:styleId="HTMLPreformatted">
    <w:name w:val="HTML Preformatted"/>
    <w:basedOn w:val="Normal"/>
    <w:link w:val="HTMLPreformattedChar"/>
    <w:semiHidden/>
    <w:rsid w:val="00156910"/>
    <w:pPr>
      <w:tabs>
        <w:tab w:val="clear" w:pos="850"/>
        <w:tab w:val="clear" w:pos="1191"/>
        <w:tab w:val="clear" w:pos="1531"/>
      </w:tabs>
    </w:pPr>
    <w:rPr>
      <w:rFonts w:ascii="Courier New" w:eastAsia="SimSun" w:hAnsi="Courier New" w:cs="Courier New"/>
    </w:rPr>
  </w:style>
  <w:style w:type="character" w:customStyle="1" w:styleId="HTMLPreformattedChar">
    <w:name w:val="HTML Preformatted Char"/>
    <w:basedOn w:val="DefaultParagraphFont"/>
    <w:link w:val="HTMLPreformatted"/>
    <w:semiHidden/>
    <w:rsid w:val="0074276B"/>
    <w:rPr>
      <w:rFonts w:ascii="Courier New" w:eastAsia="SimSun" w:hAnsi="Courier New" w:cs="Courier New"/>
    </w:rPr>
  </w:style>
  <w:style w:type="paragraph" w:styleId="BodyTextFirstIndent">
    <w:name w:val="Body Text First Indent"/>
    <w:basedOn w:val="BodyText"/>
    <w:link w:val="BodyTextFirstIndentChar"/>
    <w:semiHidden/>
    <w:rsid w:val="00156910"/>
    <w:pPr>
      <w:spacing w:after="120"/>
      <w:ind w:firstLine="210"/>
    </w:pPr>
  </w:style>
  <w:style w:type="character" w:customStyle="1" w:styleId="BodyTextFirstIndentChar">
    <w:name w:val="Body Text First Indent Char"/>
    <w:basedOn w:val="BodyTextChar"/>
    <w:link w:val="BodyTextFirstIndent"/>
    <w:semiHidden/>
    <w:rsid w:val="0074276B"/>
    <w:rPr>
      <w:rFonts w:eastAsia="SimSun"/>
    </w:rPr>
  </w:style>
  <w:style w:type="paragraph" w:styleId="BodyTextIndent">
    <w:name w:val="Body Text Indent"/>
    <w:basedOn w:val="Normal"/>
    <w:link w:val="BodyTextIndentChar"/>
    <w:semiHidden/>
    <w:rsid w:val="00156910"/>
    <w:pPr>
      <w:tabs>
        <w:tab w:val="clear" w:pos="850"/>
        <w:tab w:val="clear" w:pos="1191"/>
        <w:tab w:val="clear" w:pos="1531"/>
      </w:tabs>
      <w:ind w:left="442"/>
    </w:pPr>
    <w:rPr>
      <w:rFonts w:eastAsia="SimSun"/>
    </w:rPr>
  </w:style>
  <w:style w:type="character" w:customStyle="1" w:styleId="BodyTextIndentChar">
    <w:name w:val="Body Text Indent Char"/>
    <w:basedOn w:val="DefaultParagraphFont"/>
    <w:link w:val="BodyTextIndent"/>
    <w:semiHidden/>
    <w:rsid w:val="0074276B"/>
    <w:rPr>
      <w:rFonts w:eastAsia="SimSun"/>
    </w:rPr>
  </w:style>
  <w:style w:type="paragraph" w:styleId="BodyTextIndent2">
    <w:name w:val="Body Text Indent 2"/>
    <w:basedOn w:val="Normal"/>
    <w:link w:val="BodyTextIndent2Char"/>
    <w:semiHidden/>
    <w:rsid w:val="00156910"/>
    <w:pPr>
      <w:tabs>
        <w:tab w:val="clear" w:pos="850"/>
        <w:tab w:val="clear" w:pos="1191"/>
        <w:tab w:val="clear" w:pos="1531"/>
      </w:tabs>
      <w:spacing w:after="120" w:line="480" w:lineRule="auto"/>
      <w:ind w:left="283"/>
    </w:pPr>
    <w:rPr>
      <w:rFonts w:eastAsia="SimSun"/>
    </w:rPr>
  </w:style>
  <w:style w:type="character" w:customStyle="1" w:styleId="BodyTextIndent2Char">
    <w:name w:val="Body Text Indent 2 Char"/>
    <w:basedOn w:val="DefaultParagraphFont"/>
    <w:link w:val="BodyTextIndent2"/>
    <w:semiHidden/>
    <w:rsid w:val="0074276B"/>
    <w:rPr>
      <w:rFonts w:eastAsia="SimSun"/>
    </w:rPr>
  </w:style>
  <w:style w:type="paragraph" w:styleId="BodyTextIndent3">
    <w:name w:val="Body Text Indent 3"/>
    <w:basedOn w:val="Normal"/>
    <w:link w:val="BodyTextIndent3Char"/>
    <w:semiHidden/>
    <w:rsid w:val="00156910"/>
    <w:pPr>
      <w:tabs>
        <w:tab w:val="clear" w:pos="850"/>
        <w:tab w:val="clear" w:pos="1191"/>
        <w:tab w:val="clear" w:pos="1531"/>
      </w:tabs>
      <w:spacing w:after="120"/>
      <w:ind w:left="283"/>
    </w:pPr>
    <w:rPr>
      <w:rFonts w:eastAsia="SimSun"/>
      <w:sz w:val="16"/>
      <w:szCs w:val="16"/>
    </w:rPr>
  </w:style>
  <w:style w:type="character" w:customStyle="1" w:styleId="BodyTextIndent3Char">
    <w:name w:val="Body Text Indent 3 Char"/>
    <w:basedOn w:val="DefaultParagraphFont"/>
    <w:link w:val="BodyTextIndent3"/>
    <w:semiHidden/>
    <w:rsid w:val="0074276B"/>
    <w:rPr>
      <w:rFonts w:eastAsia="SimSun"/>
      <w:sz w:val="16"/>
      <w:szCs w:val="16"/>
    </w:rPr>
  </w:style>
  <w:style w:type="paragraph" w:styleId="BodyTextFirstIndent2">
    <w:name w:val="Body Text First Indent 2"/>
    <w:basedOn w:val="BodyTextIndent"/>
    <w:link w:val="BodyTextFirstIndent2Char"/>
    <w:semiHidden/>
    <w:rsid w:val="00156910"/>
    <w:pPr>
      <w:ind w:firstLine="210"/>
    </w:pPr>
  </w:style>
  <w:style w:type="character" w:customStyle="1" w:styleId="BodyTextFirstIndent2Char">
    <w:name w:val="Body Text First Indent 2 Char"/>
    <w:basedOn w:val="BodyTextIndentChar"/>
    <w:link w:val="BodyTextFirstIndent2"/>
    <w:semiHidden/>
    <w:rsid w:val="0074276B"/>
    <w:rPr>
      <w:rFonts w:eastAsia="SimSun"/>
    </w:rPr>
  </w:style>
  <w:style w:type="paragraph" w:styleId="NormalIndent">
    <w:name w:val="Normal Indent"/>
    <w:basedOn w:val="Normal"/>
    <w:semiHidden/>
    <w:rsid w:val="00156910"/>
    <w:pPr>
      <w:tabs>
        <w:tab w:val="clear" w:pos="850"/>
        <w:tab w:val="clear" w:pos="1191"/>
        <w:tab w:val="clear" w:pos="1531"/>
      </w:tabs>
      <w:ind w:left="708"/>
    </w:pPr>
    <w:rPr>
      <w:rFonts w:eastAsia="SimSun"/>
    </w:rPr>
  </w:style>
  <w:style w:type="paragraph" w:styleId="Salutation">
    <w:name w:val="Salutation"/>
    <w:basedOn w:val="Normal"/>
    <w:next w:val="Normal"/>
    <w:link w:val="SalutationChar"/>
    <w:semiHidden/>
    <w:rsid w:val="00156910"/>
    <w:pPr>
      <w:tabs>
        <w:tab w:val="clear" w:pos="850"/>
        <w:tab w:val="clear" w:pos="1191"/>
        <w:tab w:val="clear" w:pos="1531"/>
      </w:tabs>
    </w:pPr>
    <w:rPr>
      <w:rFonts w:eastAsia="SimSun"/>
    </w:rPr>
  </w:style>
  <w:style w:type="character" w:customStyle="1" w:styleId="SalutationChar">
    <w:name w:val="Salutation Char"/>
    <w:basedOn w:val="DefaultParagraphFont"/>
    <w:link w:val="Salutation"/>
    <w:semiHidden/>
    <w:rsid w:val="0074276B"/>
    <w:rPr>
      <w:rFonts w:eastAsia="SimSun"/>
    </w:rPr>
  </w:style>
  <w:style w:type="paragraph" w:styleId="Signature">
    <w:name w:val="Signature"/>
    <w:basedOn w:val="Normal"/>
    <w:link w:val="SignatureChar"/>
    <w:semiHidden/>
    <w:rsid w:val="00156910"/>
    <w:pPr>
      <w:tabs>
        <w:tab w:val="clear" w:pos="850"/>
        <w:tab w:val="clear" w:pos="1191"/>
        <w:tab w:val="clear" w:pos="1531"/>
      </w:tabs>
      <w:ind w:left="4252"/>
    </w:pPr>
    <w:rPr>
      <w:rFonts w:eastAsia="SimSun"/>
    </w:rPr>
  </w:style>
  <w:style w:type="character" w:customStyle="1" w:styleId="SignatureChar">
    <w:name w:val="Signature Char"/>
    <w:basedOn w:val="DefaultParagraphFont"/>
    <w:link w:val="Signature"/>
    <w:semiHidden/>
    <w:rsid w:val="0074276B"/>
    <w:rPr>
      <w:rFonts w:eastAsia="SimSun"/>
    </w:rPr>
  </w:style>
  <w:style w:type="paragraph" w:styleId="E-mailSignature">
    <w:name w:val="E-mail Signature"/>
    <w:basedOn w:val="Normal"/>
    <w:link w:val="E-mailSignatureChar"/>
    <w:semiHidden/>
    <w:rsid w:val="00156910"/>
    <w:pPr>
      <w:tabs>
        <w:tab w:val="clear" w:pos="850"/>
        <w:tab w:val="clear" w:pos="1191"/>
        <w:tab w:val="clear" w:pos="1531"/>
      </w:tabs>
    </w:pPr>
    <w:rPr>
      <w:rFonts w:eastAsia="SimSun"/>
    </w:rPr>
  </w:style>
  <w:style w:type="character" w:customStyle="1" w:styleId="E-mailSignatureChar">
    <w:name w:val="E-mail Signature Char"/>
    <w:basedOn w:val="DefaultParagraphFont"/>
    <w:link w:val="E-mailSignature"/>
    <w:semiHidden/>
    <w:rsid w:val="0074276B"/>
    <w:rPr>
      <w:rFonts w:eastAsia="SimSun"/>
    </w:rPr>
  </w:style>
  <w:style w:type="paragraph" w:styleId="TableofFigures">
    <w:name w:val="table of figures"/>
    <w:basedOn w:val="Normal"/>
    <w:next w:val="Normal"/>
    <w:uiPriority w:val="99"/>
    <w:unhideWhenUsed/>
    <w:rsid w:val="00807595"/>
    <w:pPr>
      <w:tabs>
        <w:tab w:val="clear" w:pos="850"/>
        <w:tab w:val="clear" w:pos="1191"/>
        <w:tab w:val="clear" w:pos="1531"/>
        <w:tab w:val="right" w:leader="dot" w:pos="9072"/>
      </w:tabs>
      <w:ind w:left="442" w:right="510" w:hanging="442"/>
      <w:jc w:val="left"/>
    </w:pPr>
    <w:rPr>
      <w:rFonts w:eastAsia="SimSun"/>
      <w:noProof/>
    </w:rPr>
  </w:style>
  <w:style w:type="paragraph" w:styleId="TableofAuthorities">
    <w:name w:val="table of authorities"/>
    <w:basedOn w:val="Normal"/>
    <w:next w:val="Normal"/>
    <w:semiHidden/>
    <w:rsid w:val="00156910"/>
    <w:pPr>
      <w:tabs>
        <w:tab w:val="clear" w:pos="850"/>
        <w:tab w:val="clear" w:pos="1191"/>
        <w:tab w:val="clear" w:pos="1531"/>
      </w:tabs>
      <w:ind w:left="220" w:hanging="220"/>
    </w:pPr>
    <w:rPr>
      <w:rFonts w:eastAsia="SimSun"/>
    </w:rPr>
  </w:style>
  <w:style w:type="paragraph" w:styleId="PlainText">
    <w:name w:val="Plain Text"/>
    <w:basedOn w:val="Normal"/>
    <w:link w:val="PlainTextChar"/>
    <w:semiHidden/>
    <w:rsid w:val="00156910"/>
    <w:pPr>
      <w:tabs>
        <w:tab w:val="clear" w:pos="850"/>
        <w:tab w:val="clear" w:pos="1191"/>
        <w:tab w:val="clear" w:pos="1531"/>
      </w:tabs>
    </w:pPr>
    <w:rPr>
      <w:rFonts w:ascii="Courier New" w:eastAsia="SimSun" w:hAnsi="Courier New" w:cs="Courier New"/>
    </w:rPr>
  </w:style>
  <w:style w:type="character" w:customStyle="1" w:styleId="PlainTextChar">
    <w:name w:val="Plain Text Char"/>
    <w:basedOn w:val="DefaultParagraphFont"/>
    <w:link w:val="PlainText"/>
    <w:semiHidden/>
    <w:rsid w:val="0074276B"/>
    <w:rPr>
      <w:rFonts w:ascii="Courier New" w:eastAsia="SimSun" w:hAnsi="Courier New" w:cs="Courier New"/>
    </w:rPr>
  </w:style>
  <w:style w:type="paragraph" w:styleId="BalloonText">
    <w:name w:val="Balloon Text"/>
    <w:basedOn w:val="Normal"/>
    <w:link w:val="BalloonTextChar"/>
    <w:uiPriority w:val="99"/>
    <w:semiHidden/>
    <w:rsid w:val="00156910"/>
    <w:pPr>
      <w:tabs>
        <w:tab w:val="clear" w:pos="850"/>
        <w:tab w:val="clear" w:pos="1191"/>
        <w:tab w:val="clear" w:pos="1531"/>
      </w:tabs>
    </w:pPr>
    <w:rPr>
      <w:rFonts w:eastAsia="SimSun" w:cs="Tahoma"/>
      <w:sz w:val="16"/>
      <w:szCs w:val="16"/>
    </w:rPr>
  </w:style>
  <w:style w:type="character" w:customStyle="1" w:styleId="BalloonTextChar">
    <w:name w:val="Balloon Text Char"/>
    <w:basedOn w:val="DefaultParagraphFont"/>
    <w:link w:val="BalloonText"/>
    <w:uiPriority w:val="99"/>
    <w:semiHidden/>
    <w:rsid w:val="00156910"/>
    <w:rPr>
      <w:rFonts w:ascii="Georgia" w:eastAsia="SimSun" w:hAnsi="Georgia" w:cs="Tahoma"/>
      <w:sz w:val="16"/>
      <w:szCs w:val="16"/>
    </w:rPr>
  </w:style>
  <w:style w:type="paragraph" w:styleId="MacroText">
    <w:name w:val="macro"/>
    <w:link w:val="MacroTextChar"/>
    <w:semiHidden/>
    <w:rsid w:val="00156910"/>
    <w:pPr>
      <w:tabs>
        <w:tab w:val="left" w:pos="480"/>
        <w:tab w:val="left" w:pos="960"/>
        <w:tab w:val="left" w:pos="1440"/>
        <w:tab w:val="left" w:pos="1920"/>
        <w:tab w:val="left" w:pos="2400"/>
        <w:tab w:val="left" w:pos="2880"/>
        <w:tab w:val="left" w:pos="3360"/>
        <w:tab w:val="left" w:pos="3840"/>
        <w:tab w:val="left" w:pos="4320"/>
      </w:tabs>
      <w:spacing w:after="160" w:line="259" w:lineRule="auto"/>
      <w:jc w:val="both"/>
    </w:pPr>
    <w:rPr>
      <w:rFonts w:ascii="Courier New" w:eastAsia="SimSun" w:hAnsi="Courier New" w:cs="Courier New"/>
      <w:position w:val="6"/>
      <w:lang w:val="en-GB" w:eastAsia="zh-CN"/>
    </w:rPr>
  </w:style>
  <w:style w:type="character" w:customStyle="1" w:styleId="MacroTextChar">
    <w:name w:val="Macro Text Char"/>
    <w:basedOn w:val="DefaultParagraphFont"/>
    <w:link w:val="MacroText"/>
    <w:semiHidden/>
    <w:rsid w:val="00156910"/>
    <w:rPr>
      <w:rFonts w:ascii="Courier New" w:eastAsia="SimSun" w:hAnsi="Courier New" w:cs="Courier New"/>
      <w:position w:val="6"/>
      <w:lang w:val="en-GB" w:eastAsia="zh-CN"/>
    </w:rPr>
  </w:style>
  <w:style w:type="paragraph" w:styleId="NoteHeading">
    <w:name w:val="Note Heading"/>
    <w:basedOn w:val="Normal"/>
    <w:next w:val="Normal"/>
    <w:link w:val="NoteHeadingChar"/>
    <w:semiHidden/>
    <w:rsid w:val="00156910"/>
    <w:pPr>
      <w:tabs>
        <w:tab w:val="clear" w:pos="850"/>
        <w:tab w:val="clear" w:pos="1191"/>
        <w:tab w:val="clear" w:pos="1531"/>
      </w:tabs>
    </w:pPr>
    <w:rPr>
      <w:rFonts w:eastAsia="SimSun"/>
    </w:rPr>
  </w:style>
  <w:style w:type="character" w:customStyle="1" w:styleId="NoteHeadingChar">
    <w:name w:val="Note Heading Char"/>
    <w:basedOn w:val="DefaultParagraphFont"/>
    <w:link w:val="NoteHeading"/>
    <w:semiHidden/>
    <w:rsid w:val="0074276B"/>
    <w:rPr>
      <w:rFonts w:eastAsia="SimSun"/>
    </w:rPr>
  </w:style>
  <w:style w:type="paragraph" w:styleId="TOAHeading">
    <w:name w:val="toa heading"/>
    <w:basedOn w:val="Normal"/>
    <w:next w:val="Normal"/>
    <w:semiHidden/>
    <w:rsid w:val="00156910"/>
    <w:pPr>
      <w:tabs>
        <w:tab w:val="clear" w:pos="850"/>
        <w:tab w:val="clear" w:pos="1191"/>
        <w:tab w:val="clear" w:pos="1531"/>
      </w:tabs>
      <w:spacing w:before="120"/>
    </w:pPr>
    <w:rPr>
      <w:rFonts w:ascii="Arial" w:eastAsia="SimSun" w:hAnsi="Arial" w:cs="Arial"/>
      <w:b/>
      <w:bCs/>
      <w:sz w:val="24"/>
      <w:szCs w:val="24"/>
    </w:rPr>
  </w:style>
  <w:style w:type="character" w:styleId="PageNumber">
    <w:name w:val="page number"/>
    <w:basedOn w:val="DefaultParagraphFont"/>
    <w:uiPriority w:val="99"/>
    <w:unhideWhenUsed/>
    <w:rsid w:val="007A7570"/>
    <w:rPr>
      <w:b/>
      <w:sz w:val="22"/>
      <w:szCs w:val="22"/>
    </w:rPr>
  </w:style>
  <w:style w:type="paragraph" w:styleId="Bibliography">
    <w:name w:val="Bibliography"/>
    <w:basedOn w:val="Normal"/>
    <w:next w:val="Normal"/>
    <w:uiPriority w:val="37"/>
    <w:unhideWhenUsed/>
    <w:rsid w:val="00182182"/>
    <w:pPr>
      <w:tabs>
        <w:tab w:val="clear" w:pos="850"/>
        <w:tab w:val="clear" w:pos="1191"/>
        <w:tab w:val="clear" w:pos="1531"/>
      </w:tabs>
      <w:spacing w:after="120"/>
      <w:ind w:left="284" w:hanging="284"/>
      <w:jc w:val="left"/>
    </w:pPr>
    <w:rPr>
      <w:rFonts w:eastAsia="SimSun"/>
    </w:rPr>
  </w:style>
  <w:style w:type="paragraph" w:customStyle="1" w:styleId="IntenseQuote1">
    <w:name w:val="Intense Quote1"/>
    <w:basedOn w:val="Normal"/>
    <w:next w:val="Normal"/>
    <w:uiPriority w:val="30"/>
    <w:semiHidden/>
    <w:rsid w:val="00156910"/>
    <w:pPr>
      <w:pBdr>
        <w:top w:val="single" w:sz="4" w:space="10" w:color="404040"/>
        <w:bottom w:val="single" w:sz="4" w:space="10" w:color="404040"/>
      </w:pBdr>
      <w:tabs>
        <w:tab w:val="clear" w:pos="850"/>
        <w:tab w:val="clear" w:pos="1191"/>
        <w:tab w:val="clear" w:pos="1531"/>
      </w:tabs>
      <w:spacing w:before="360" w:after="360"/>
      <w:ind w:left="864" w:right="864"/>
      <w:jc w:val="center"/>
    </w:pPr>
    <w:rPr>
      <w:rFonts w:eastAsia="SimSun"/>
      <w:i/>
      <w:iCs/>
      <w:color w:val="404040"/>
    </w:rPr>
  </w:style>
  <w:style w:type="character" w:customStyle="1" w:styleId="IntenseQuoteChar">
    <w:name w:val="Intense Quote Char"/>
    <w:basedOn w:val="DefaultParagraphFont"/>
    <w:link w:val="IntenseQuote"/>
    <w:uiPriority w:val="30"/>
    <w:semiHidden/>
    <w:rsid w:val="0074276B"/>
    <w:rPr>
      <w:i/>
      <w:iCs/>
      <w:color w:val="404040"/>
    </w:rPr>
  </w:style>
  <w:style w:type="paragraph" w:styleId="ListParagraph">
    <w:name w:val="List Paragraph"/>
    <w:basedOn w:val="Normal"/>
    <w:uiPriority w:val="34"/>
    <w:qFormat/>
    <w:rsid w:val="005F1EB2"/>
    <w:pPr>
      <w:tabs>
        <w:tab w:val="clear" w:pos="850"/>
        <w:tab w:val="clear" w:pos="1191"/>
        <w:tab w:val="clear" w:pos="1531"/>
      </w:tabs>
    </w:pPr>
    <w:rPr>
      <w:rFonts w:eastAsia="SimSun"/>
    </w:rPr>
  </w:style>
  <w:style w:type="paragraph" w:styleId="NoSpacing">
    <w:name w:val="No Spacing"/>
    <w:uiPriority w:val="1"/>
    <w:rsid w:val="00156910"/>
    <w:rPr>
      <w:rFonts w:eastAsia="SimSun"/>
      <w:position w:val="6"/>
    </w:rPr>
  </w:style>
  <w:style w:type="paragraph" w:styleId="Quote">
    <w:name w:val="Quote"/>
    <w:aliases w:val="Quotation (long)"/>
    <w:basedOn w:val="Normal"/>
    <w:link w:val="QuoteChar"/>
    <w:uiPriority w:val="11"/>
    <w:qFormat/>
    <w:rsid w:val="00517792"/>
    <w:pPr>
      <w:tabs>
        <w:tab w:val="clear" w:pos="850"/>
        <w:tab w:val="clear" w:pos="1191"/>
        <w:tab w:val="clear" w:pos="1531"/>
      </w:tabs>
      <w:spacing w:after="120"/>
      <w:ind w:left="1021" w:right="1021"/>
    </w:pPr>
    <w:rPr>
      <w:rFonts w:eastAsia="SimSun"/>
      <w:i/>
      <w:iCs/>
      <w:color w:val="404040"/>
    </w:rPr>
  </w:style>
  <w:style w:type="character" w:customStyle="1" w:styleId="QuoteChar">
    <w:name w:val="Quote Char"/>
    <w:aliases w:val="Quotation (long) Char"/>
    <w:basedOn w:val="DefaultParagraphFont"/>
    <w:link w:val="Quote"/>
    <w:uiPriority w:val="11"/>
    <w:rsid w:val="00517792"/>
    <w:rPr>
      <w:rFonts w:ascii="Times New Roman" w:eastAsia="SimSun" w:hAnsi="Times New Roman"/>
      <w:i/>
      <w:iCs/>
      <w:color w:val="404040"/>
      <w:sz w:val="22"/>
      <w:lang w:val="en-GB"/>
    </w:rPr>
  </w:style>
  <w:style w:type="paragraph" w:styleId="TOCHeading">
    <w:name w:val="TOC Heading"/>
    <w:basedOn w:val="Title"/>
    <w:next w:val="Normal"/>
    <w:uiPriority w:val="39"/>
    <w:rsid w:val="00077D37"/>
    <w:pPr>
      <w:tabs>
        <w:tab w:val="clear" w:pos="850"/>
        <w:tab w:val="clear" w:pos="1191"/>
        <w:tab w:val="clear" w:pos="1531"/>
      </w:tabs>
      <w:outlineLvl w:val="9"/>
    </w:pPr>
    <w:rPr>
      <w:rFonts w:eastAsia="SimHei"/>
      <w:bCs w:val="0"/>
      <w:kern w:val="0"/>
    </w:rPr>
  </w:style>
  <w:style w:type="paragraph" w:customStyle="1" w:styleId="Quotationshort">
    <w:name w:val="Quotation (short)"/>
    <w:basedOn w:val="Normal"/>
    <w:link w:val="QuotationshortChar"/>
    <w:uiPriority w:val="11"/>
    <w:qFormat/>
    <w:rsid w:val="00517792"/>
    <w:pPr>
      <w:tabs>
        <w:tab w:val="clear" w:pos="850"/>
        <w:tab w:val="clear" w:pos="1191"/>
        <w:tab w:val="clear" w:pos="1531"/>
      </w:tabs>
      <w:spacing w:after="120"/>
    </w:pPr>
    <w:rPr>
      <w:rFonts w:eastAsia="SimSun"/>
      <w:i/>
    </w:rPr>
  </w:style>
  <w:style w:type="character" w:customStyle="1" w:styleId="QuotationshortChar">
    <w:name w:val="Quotation (short) Char"/>
    <w:basedOn w:val="DefaultParagraphFont"/>
    <w:link w:val="Quotationshort"/>
    <w:uiPriority w:val="11"/>
    <w:rsid w:val="00517792"/>
    <w:rPr>
      <w:rFonts w:ascii="Times New Roman" w:eastAsia="SimSun" w:hAnsi="Times New Roman"/>
      <w:i/>
      <w:sz w:val="22"/>
      <w:lang w:val="en-GB"/>
    </w:rPr>
  </w:style>
  <w:style w:type="character" w:customStyle="1" w:styleId="Hyperlink1">
    <w:name w:val="Hyperlink1"/>
    <w:basedOn w:val="DefaultParagraphFont"/>
    <w:uiPriority w:val="99"/>
    <w:unhideWhenUsed/>
    <w:rsid w:val="00156910"/>
    <w:rPr>
      <w:color w:val="2B3ECD"/>
      <w:u w:val="single"/>
    </w:rPr>
  </w:style>
  <w:style w:type="character" w:styleId="Strong">
    <w:name w:val="Strong"/>
    <w:basedOn w:val="DefaultParagraphFont"/>
    <w:uiPriority w:val="22"/>
    <w:qFormat/>
    <w:rsid w:val="00156910"/>
    <w:rPr>
      <w:b/>
      <w:bCs/>
      <w:color w:val="auto"/>
    </w:rPr>
  </w:style>
  <w:style w:type="character" w:styleId="CommentReference">
    <w:name w:val="annotation reference"/>
    <w:basedOn w:val="DefaultParagraphFont"/>
    <w:uiPriority w:val="99"/>
    <w:semiHidden/>
    <w:unhideWhenUsed/>
    <w:rsid w:val="00156910"/>
    <w:rPr>
      <w:sz w:val="16"/>
      <w:szCs w:val="16"/>
    </w:rPr>
  </w:style>
  <w:style w:type="character" w:styleId="Emphasis">
    <w:name w:val="Emphasis"/>
    <w:basedOn w:val="DefaultParagraphFont"/>
    <w:uiPriority w:val="20"/>
    <w:rsid w:val="00156910"/>
    <w:rPr>
      <w:i/>
      <w:iCs/>
      <w:color w:val="auto"/>
    </w:rPr>
  </w:style>
  <w:style w:type="paragraph" w:styleId="Revision">
    <w:name w:val="Revision"/>
    <w:hidden/>
    <w:uiPriority w:val="99"/>
    <w:semiHidden/>
    <w:rsid w:val="00156910"/>
    <w:pPr>
      <w:spacing w:after="160" w:line="259" w:lineRule="auto"/>
    </w:pPr>
    <w:rPr>
      <w:rFonts w:eastAsia="SimSun"/>
      <w:position w:val="6"/>
      <w:lang w:val="en-GB" w:eastAsia="zh-CN"/>
    </w:rPr>
  </w:style>
  <w:style w:type="character" w:customStyle="1" w:styleId="SubtleEmphasis1">
    <w:name w:val="Subtle Emphasis1"/>
    <w:basedOn w:val="DefaultParagraphFont"/>
    <w:uiPriority w:val="19"/>
    <w:semiHidden/>
    <w:rsid w:val="00156910"/>
    <w:rPr>
      <w:i/>
      <w:iCs/>
      <w:color w:val="404040"/>
    </w:rPr>
  </w:style>
  <w:style w:type="character" w:styleId="IntenseEmphasis">
    <w:name w:val="Intense Emphasis"/>
    <w:basedOn w:val="DefaultParagraphFont"/>
    <w:uiPriority w:val="21"/>
    <w:semiHidden/>
    <w:rsid w:val="00156910"/>
    <w:rPr>
      <w:b/>
      <w:bCs/>
      <w:i/>
      <w:iCs/>
      <w:color w:val="auto"/>
    </w:rPr>
  </w:style>
  <w:style w:type="character" w:customStyle="1" w:styleId="SubtleReference1">
    <w:name w:val="Subtle Reference1"/>
    <w:basedOn w:val="DefaultParagraphFont"/>
    <w:uiPriority w:val="31"/>
    <w:semiHidden/>
    <w:rsid w:val="00156910"/>
    <w:rPr>
      <w:smallCaps/>
      <w:color w:val="404040"/>
    </w:rPr>
  </w:style>
  <w:style w:type="character" w:customStyle="1" w:styleId="IntenseReference1">
    <w:name w:val="Intense Reference1"/>
    <w:basedOn w:val="DefaultParagraphFont"/>
    <w:uiPriority w:val="32"/>
    <w:semiHidden/>
    <w:rsid w:val="00156910"/>
    <w:rPr>
      <w:b/>
      <w:bCs/>
      <w:smallCaps/>
      <w:color w:val="404040"/>
      <w:spacing w:val="5"/>
    </w:rPr>
  </w:style>
  <w:style w:type="paragraph" w:customStyle="1" w:styleId="CancelreplaceCoverpage">
    <w:name w:val="Cancel &amp; replace (Cover page)"/>
    <w:basedOn w:val="Normal"/>
    <w:uiPriority w:val="99"/>
    <w:unhideWhenUsed/>
    <w:rsid w:val="008755FF"/>
    <w:pPr>
      <w:tabs>
        <w:tab w:val="clear" w:pos="850"/>
        <w:tab w:val="clear" w:pos="1191"/>
        <w:tab w:val="clear" w:pos="1531"/>
      </w:tabs>
      <w:autoSpaceDE w:val="0"/>
      <w:autoSpaceDN w:val="0"/>
      <w:adjustRightInd w:val="0"/>
      <w:spacing w:after="227" w:line="360" w:lineRule="atLeast"/>
      <w:jc w:val="left"/>
      <w:textAlignment w:val="center"/>
    </w:pPr>
    <w:rPr>
      <w:rFonts w:eastAsia="SimSun" w:cs="Bernini Sans Light"/>
      <w:b/>
      <w:position w:val="6"/>
      <w:szCs w:val="28"/>
      <w:lang w:val="fr-FR"/>
    </w:rPr>
  </w:style>
  <w:style w:type="character" w:customStyle="1" w:styleId="HeaderTitle">
    <w:name w:val="Header Title"/>
    <w:uiPriority w:val="99"/>
    <w:unhideWhenUsed/>
    <w:rsid w:val="00653CBE"/>
    <w:rPr>
      <w:caps/>
      <w:smallCaps w:val="0"/>
      <w:sz w:val="18"/>
    </w:rPr>
  </w:style>
  <w:style w:type="paragraph" w:customStyle="1" w:styleId="Para">
    <w:name w:val="Para #"/>
    <w:basedOn w:val="Normal"/>
    <w:link w:val="ParaChar"/>
    <w:uiPriority w:val="4"/>
    <w:qFormat/>
    <w:rsid w:val="00517792"/>
    <w:pPr>
      <w:numPr>
        <w:numId w:val="12"/>
      </w:numPr>
      <w:tabs>
        <w:tab w:val="clear" w:pos="850"/>
        <w:tab w:val="clear" w:pos="1191"/>
        <w:tab w:val="clear" w:pos="1531"/>
        <w:tab w:val="left" w:pos="1361"/>
      </w:tabs>
      <w:spacing w:before="120" w:after="120"/>
      <w:ind w:right="680"/>
    </w:pPr>
    <w:rPr>
      <w:rFonts w:eastAsia="SimSun"/>
    </w:rPr>
  </w:style>
  <w:style w:type="character" w:customStyle="1" w:styleId="ParaChar">
    <w:name w:val="Para # Char"/>
    <w:basedOn w:val="DefaultParagraphFont"/>
    <w:link w:val="Para"/>
    <w:uiPriority w:val="4"/>
    <w:rsid w:val="00517792"/>
    <w:rPr>
      <w:rFonts w:ascii="Times New Roman" w:eastAsia="SimSun" w:hAnsi="Times New Roman"/>
      <w:sz w:val="22"/>
      <w:lang w:val="en-GB"/>
    </w:rPr>
  </w:style>
  <w:style w:type="paragraph" w:customStyle="1" w:styleId="Para1">
    <w:name w:val="Para #.#"/>
    <w:basedOn w:val="Para"/>
    <w:uiPriority w:val="4"/>
    <w:rsid w:val="00184759"/>
    <w:pPr>
      <w:numPr>
        <w:numId w:val="0"/>
      </w:numPr>
    </w:pPr>
    <w:rPr>
      <w:rFonts w:eastAsia="Caecilia LT Std Roman"/>
      <w:lang w:val="fr-FR"/>
    </w:rPr>
  </w:style>
  <w:style w:type="character" w:customStyle="1" w:styleId="HeaderCoteChar">
    <w:name w:val="Header Cote (Char)"/>
    <w:basedOn w:val="DefaultParagraphFont"/>
    <w:uiPriority w:val="1"/>
    <w:unhideWhenUsed/>
    <w:rsid w:val="009E161D"/>
    <w:rPr>
      <w:rFonts w:ascii="Times New Roman" w:hAnsi="Times New Roman"/>
      <w:b w:val="0"/>
      <w:spacing w:val="0"/>
      <w:sz w:val="22"/>
    </w:rPr>
  </w:style>
  <w:style w:type="numbering" w:customStyle="1" w:styleId="1Paragraphlist">
    <w:name w:val="1. Paragraph list"/>
    <w:uiPriority w:val="99"/>
    <w:rsid w:val="00156910"/>
    <w:pPr>
      <w:numPr>
        <w:numId w:val="11"/>
      </w:numPr>
    </w:pPr>
  </w:style>
  <w:style w:type="paragraph" w:customStyle="1" w:styleId="CoverTitle">
    <w:name w:val="CoverTitle"/>
    <w:basedOn w:val="CoverNormal"/>
    <w:link w:val="CoverTitleChar"/>
    <w:unhideWhenUsed/>
    <w:rsid w:val="003974D4"/>
    <w:pPr>
      <w:spacing w:after="240"/>
    </w:pPr>
    <w:rPr>
      <w:b/>
      <w:sz w:val="24"/>
    </w:rPr>
  </w:style>
  <w:style w:type="paragraph" w:customStyle="1" w:styleId="CoverSubTitle">
    <w:name w:val="CoverSubTitle"/>
    <w:basedOn w:val="CoverNormal"/>
    <w:link w:val="CoverSubTitleChar"/>
    <w:unhideWhenUsed/>
    <w:rsid w:val="00AC2493"/>
    <w:rPr>
      <w:b/>
    </w:rPr>
  </w:style>
  <w:style w:type="character" w:customStyle="1" w:styleId="CoverTitleChar">
    <w:name w:val="CoverTitle Char"/>
    <w:basedOn w:val="DefaultParagraphFont"/>
    <w:link w:val="CoverTitle"/>
    <w:rsid w:val="003974D4"/>
    <w:rPr>
      <w:rFonts w:ascii="Times New Roman" w:eastAsia="SimSun" w:hAnsi="Times New Roman"/>
      <w:b/>
      <w:sz w:val="24"/>
      <w:lang w:val="en-GB"/>
    </w:rPr>
  </w:style>
  <w:style w:type="paragraph" w:customStyle="1" w:styleId="CoverCancel">
    <w:name w:val="CoverCancel"/>
    <w:basedOn w:val="CoverNormal"/>
    <w:link w:val="CoverCancelChar"/>
    <w:unhideWhenUsed/>
    <w:rsid w:val="008755FF"/>
    <w:pPr>
      <w:spacing w:before="240" w:after="120" w:line="312" w:lineRule="auto"/>
      <w:jc w:val="center"/>
    </w:pPr>
    <w:rPr>
      <w:b/>
      <w:szCs w:val="24"/>
    </w:rPr>
  </w:style>
  <w:style w:type="character" w:customStyle="1" w:styleId="CoverSubTitleChar">
    <w:name w:val="CoverSubTitle Char"/>
    <w:basedOn w:val="DefaultParagraphFont"/>
    <w:link w:val="CoverSubTitle"/>
    <w:rsid w:val="00AC2493"/>
    <w:rPr>
      <w:rFonts w:ascii="Times New Roman" w:eastAsia="SimSun" w:hAnsi="Times New Roman"/>
      <w:b/>
      <w:sz w:val="22"/>
      <w:lang w:val="en-GB"/>
    </w:rPr>
  </w:style>
  <w:style w:type="character" w:customStyle="1" w:styleId="CoverCancelChar">
    <w:name w:val="CoverCancel Char"/>
    <w:basedOn w:val="DefaultParagraphFont"/>
    <w:link w:val="CoverCancel"/>
    <w:rsid w:val="008755FF"/>
    <w:rPr>
      <w:rFonts w:ascii="Times New Roman" w:eastAsia="SimSun" w:hAnsi="Times New Roman"/>
      <w:b/>
      <w:sz w:val="22"/>
      <w:szCs w:val="24"/>
      <w:lang w:val="en-GB"/>
    </w:rPr>
  </w:style>
  <w:style w:type="character" w:customStyle="1" w:styleId="CoverCote">
    <w:name w:val="CoverCote"/>
    <w:basedOn w:val="DefaultParagraphFont"/>
    <w:uiPriority w:val="1"/>
    <w:unhideWhenUsed/>
    <w:rsid w:val="003076F3"/>
    <w:rPr>
      <w:rFonts w:ascii="Times New Roman" w:hAnsi="Times New Roman"/>
      <w:b/>
      <w:i w:val="0"/>
      <w:caps/>
      <w:smallCaps w:val="0"/>
      <w:color w:val="auto"/>
      <w:sz w:val="22"/>
      <w:u w:val="none"/>
      <w:bdr w:val="none" w:sz="0" w:space="0" w:color="auto"/>
      <w:shd w:val="clear" w:color="auto" w:fill="auto"/>
    </w:rPr>
  </w:style>
  <w:style w:type="paragraph" w:customStyle="1" w:styleId="CoverNormal">
    <w:name w:val="CoverNormal"/>
    <w:basedOn w:val="Normal"/>
    <w:link w:val="CoverNormalChar"/>
    <w:unhideWhenUsed/>
    <w:rsid w:val="00B60A4D"/>
    <w:pPr>
      <w:tabs>
        <w:tab w:val="clear" w:pos="850"/>
        <w:tab w:val="clear" w:pos="1191"/>
        <w:tab w:val="clear" w:pos="1531"/>
      </w:tabs>
      <w:jc w:val="left"/>
    </w:pPr>
    <w:rPr>
      <w:rFonts w:eastAsia="SimSun"/>
    </w:rPr>
  </w:style>
  <w:style w:type="character" w:customStyle="1" w:styleId="CoverNormalChar">
    <w:name w:val="CoverNormal Char"/>
    <w:basedOn w:val="DefaultParagraphFont"/>
    <w:link w:val="CoverNormal"/>
    <w:rsid w:val="00B60A4D"/>
    <w:rPr>
      <w:rFonts w:ascii="Times New Roman" w:eastAsia="SimSun" w:hAnsi="Times New Roman"/>
      <w:sz w:val="22"/>
      <w:lang w:val="en-GB"/>
    </w:rPr>
  </w:style>
  <w:style w:type="table" w:customStyle="1" w:styleId="TableGrid1">
    <w:name w:val="Table Grid1"/>
    <w:basedOn w:val="TableNormal"/>
    <w:next w:val="TableGrid"/>
    <w:uiPriority w:val="59"/>
    <w:rsid w:val="00156910"/>
    <w:rPr>
      <w:position w:val="6"/>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verDirectorate">
    <w:name w:val="CoverDirectorate"/>
    <w:basedOn w:val="CoverNormal"/>
    <w:link w:val="CoverDirectorateChar"/>
    <w:unhideWhenUsed/>
    <w:rsid w:val="00BE21A6"/>
    <w:rPr>
      <w:b/>
      <w:color w:val="000000" w:themeColor="text1"/>
    </w:rPr>
  </w:style>
  <w:style w:type="character" w:customStyle="1" w:styleId="CoverDirectorateChar">
    <w:name w:val="CoverDirectorate Char"/>
    <w:basedOn w:val="CoverNormalChar"/>
    <w:link w:val="CoverDirectorate"/>
    <w:rsid w:val="00BE21A6"/>
    <w:rPr>
      <w:rFonts w:ascii="Times New Roman" w:eastAsia="SimSun" w:hAnsi="Times New Roman"/>
      <w:b/>
      <w:color w:val="000000" w:themeColor="text1"/>
      <w:sz w:val="22"/>
      <w:lang w:val="en-GB"/>
    </w:rPr>
  </w:style>
  <w:style w:type="paragraph" w:customStyle="1" w:styleId="CoverAbstract">
    <w:name w:val="CoverAbstract"/>
    <w:basedOn w:val="CoverNormal"/>
    <w:link w:val="CoverAbstractChar"/>
    <w:unhideWhenUsed/>
    <w:rsid w:val="003974D4"/>
    <w:pPr>
      <w:spacing w:after="120"/>
      <w:jc w:val="both"/>
    </w:pPr>
    <w:rPr>
      <w:rFonts w:cs="Arial"/>
      <w:szCs w:val="24"/>
    </w:rPr>
  </w:style>
  <w:style w:type="paragraph" w:customStyle="1" w:styleId="CoverDisclaimer">
    <w:name w:val="CoverDisclaimer"/>
    <w:basedOn w:val="Normal"/>
    <w:unhideWhenUsed/>
    <w:rsid w:val="00653CBE"/>
    <w:pPr>
      <w:spacing w:line="312" w:lineRule="auto"/>
    </w:pPr>
    <w:rPr>
      <w:rFonts w:eastAsia="SimSun"/>
      <w:b/>
      <w:i/>
      <w:color w:val="000000" w:themeColor="text1"/>
      <w:sz w:val="16"/>
      <w:szCs w:val="16"/>
    </w:rPr>
  </w:style>
  <w:style w:type="character" w:customStyle="1" w:styleId="CoverAbstractChar">
    <w:name w:val="CoverAbstract Char"/>
    <w:basedOn w:val="DefaultParagraphFont"/>
    <w:link w:val="CoverAbstract"/>
    <w:rsid w:val="003974D4"/>
    <w:rPr>
      <w:rFonts w:ascii="Times New Roman" w:eastAsia="SimSun" w:hAnsi="Times New Roman" w:cs="Arial"/>
      <w:sz w:val="22"/>
      <w:szCs w:val="24"/>
      <w:lang w:val="en-GB"/>
    </w:rPr>
  </w:style>
  <w:style w:type="paragraph" w:customStyle="1" w:styleId="CoverJobTicket">
    <w:name w:val="CoverJobTicket"/>
    <w:basedOn w:val="CoverNormal"/>
    <w:unhideWhenUsed/>
    <w:rsid w:val="001B0BC0"/>
    <w:rPr>
      <w:b/>
    </w:rPr>
  </w:style>
  <w:style w:type="paragraph" w:customStyle="1" w:styleId="CoverDate">
    <w:name w:val="CoverDate"/>
    <w:basedOn w:val="CoverNormal"/>
    <w:link w:val="CoverDateChar"/>
    <w:unhideWhenUsed/>
    <w:rsid w:val="003974D4"/>
    <w:pPr>
      <w:widowControl w:val="0"/>
      <w:autoSpaceDE w:val="0"/>
      <w:autoSpaceDN w:val="0"/>
      <w:snapToGrid w:val="0"/>
      <w:spacing w:before="40" w:after="40"/>
      <w:jc w:val="right"/>
    </w:pPr>
    <w:rPr>
      <w:b/>
      <w:color w:val="FFFFFF" w:themeColor="background1"/>
      <w:sz w:val="18"/>
    </w:rPr>
  </w:style>
  <w:style w:type="character" w:styleId="PlaceholderText">
    <w:name w:val="Placeholder Text"/>
    <w:basedOn w:val="DefaultParagraphFont"/>
    <w:uiPriority w:val="99"/>
    <w:semiHidden/>
    <w:rsid w:val="00156910"/>
    <w:rPr>
      <w:color w:val="808080"/>
    </w:rPr>
  </w:style>
  <w:style w:type="table" w:customStyle="1" w:styleId="TableGridLight1">
    <w:name w:val="Table Grid Light1"/>
    <w:basedOn w:val="TableNormal"/>
    <w:next w:val="TableGridLight2"/>
    <w:uiPriority w:val="40"/>
    <w:rsid w:val="00156910"/>
    <w:rPr>
      <w:position w:val="6"/>
      <w:lang w:val="fr-FR"/>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ara0">
    <w:name w:val="Para"/>
    <w:basedOn w:val="Normal"/>
    <w:link w:val="ParaChar0"/>
    <w:uiPriority w:val="4"/>
    <w:qFormat/>
    <w:rsid w:val="00517792"/>
    <w:pPr>
      <w:tabs>
        <w:tab w:val="clear" w:pos="850"/>
        <w:tab w:val="clear" w:pos="1191"/>
        <w:tab w:val="clear" w:pos="1531"/>
      </w:tabs>
      <w:spacing w:before="120" w:after="120"/>
      <w:ind w:left="680" w:right="680"/>
    </w:pPr>
    <w:rPr>
      <w:rFonts w:eastAsia="SimSun"/>
    </w:rPr>
  </w:style>
  <w:style w:type="character" w:styleId="EndnoteReference">
    <w:name w:val="endnote reference"/>
    <w:basedOn w:val="DefaultParagraphFont"/>
    <w:uiPriority w:val="99"/>
    <w:unhideWhenUsed/>
    <w:rsid w:val="0010021A"/>
    <w:rPr>
      <w:rFonts w:ascii="Times New Roman" w:hAnsi="Times New Roman"/>
      <w:i w:val="0"/>
      <w:position w:val="0"/>
      <w:sz w:val="22"/>
      <w:vertAlign w:val="superscript"/>
    </w:rPr>
  </w:style>
  <w:style w:type="table" w:customStyle="1" w:styleId="PlainTable51">
    <w:name w:val="Plain Table 51"/>
    <w:basedOn w:val="TableNormal"/>
    <w:next w:val="PlainTable52"/>
    <w:uiPriority w:val="45"/>
    <w:rsid w:val="00156910"/>
    <w:rPr>
      <w:rFonts w:eastAsia="SimSun"/>
      <w:position w:val="6"/>
      <w:sz w:val="16"/>
    </w:rPr>
    <w:tblPr>
      <w:tblStyleRowBandSize w:val="1"/>
      <w:tblStyleColBandSize w:val="1"/>
    </w:tblPr>
    <w:tblStylePr w:type="firstRow">
      <w:rPr>
        <w:rFonts w:ascii="Bernini Sans Light" w:eastAsia="SimHei" w:hAnsi="Bernini Sans Light" w:cs="Times New Roman"/>
        <w:i/>
        <w:iCs/>
        <w:sz w:val="26"/>
      </w:rPr>
      <w:tblPr/>
      <w:tcPr>
        <w:tcBorders>
          <w:bottom w:val="single" w:sz="4" w:space="0" w:color="7F7F7F"/>
        </w:tcBorders>
        <w:shd w:val="clear" w:color="auto" w:fill="FFFFFF"/>
      </w:tcPr>
    </w:tblStylePr>
    <w:tblStylePr w:type="lastRow">
      <w:rPr>
        <w:rFonts w:ascii="Bernini Sans Light" w:eastAsia="SimHei" w:hAnsi="Bernini Sans Light" w:cs="Times New Roman"/>
        <w:i/>
        <w:iCs/>
        <w:sz w:val="26"/>
      </w:rPr>
      <w:tblPr/>
      <w:tcPr>
        <w:tcBorders>
          <w:top w:val="single" w:sz="4" w:space="0" w:color="7F7F7F"/>
        </w:tcBorders>
        <w:shd w:val="clear" w:color="auto" w:fill="FFFFFF"/>
      </w:tcPr>
    </w:tblStylePr>
    <w:tblStylePr w:type="firstCol">
      <w:pPr>
        <w:jc w:val="right"/>
      </w:pPr>
      <w:rPr>
        <w:rFonts w:ascii="Bernini Sans Light" w:eastAsia="SimHei" w:hAnsi="Bernini Sans Light" w:cs="Times New Roman"/>
        <w:i/>
        <w:iCs/>
        <w:sz w:val="26"/>
      </w:rPr>
      <w:tblPr/>
      <w:tcPr>
        <w:tcBorders>
          <w:right w:val="single" w:sz="4" w:space="0" w:color="7F7F7F"/>
        </w:tcBorders>
        <w:shd w:val="clear" w:color="auto" w:fill="FFFFFF"/>
      </w:tcPr>
    </w:tblStylePr>
    <w:tblStylePr w:type="lastCol">
      <w:rPr>
        <w:rFonts w:ascii="Bernini Sans Light" w:eastAsia="SimHei" w:hAnsi="Bernini Sans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61">
    <w:name w:val="Grid Table 1 Light - Accent 61"/>
    <w:basedOn w:val="TableNormal"/>
    <w:next w:val="GridTable1Light-Accent62"/>
    <w:uiPriority w:val="46"/>
    <w:rsid w:val="00156910"/>
    <w:rPr>
      <w:rFonts w:eastAsia="SimSun"/>
      <w:position w:val="6"/>
    </w:rPr>
    <w:tblPr>
      <w:tblStyleRowBandSize w:val="1"/>
      <w:tblStyleColBandSize w:val="1"/>
      <w:tblBorders>
        <w:top w:val="single" w:sz="4" w:space="0" w:color="CBCBCB"/>
        <w:left w:val="single" w:sz="4" w:space="0" w:color="CBCBCB"/>
        <w:bottom w:val="single" w:sz="4" w:space="0" w:color="CBCBCB"/>
        <w:right w:val="single" w:sz="4" w:space="0" w:color="CBCBCB"/>
        <w:insideH w:val="single" w:sz="4" w:space="0" w:color="CBCBCB"/>
        <w:insideV w:val="single" w:sz="4" w:space="0" w:color="CBCBCB"/>
      </w:tblBorders>
    </w:tblPr>
    <w:tblStylePr w:type="firstRow">
      <w:rPr>
        <w:b/>
        <w:bCs/>
      </w:rPr>
      <w:tblPr/>
      <w:tcPr>
        <w:tcBorders>
          <w:bottom w:val="single" w:sz="12" w:space="0" w:color="B2B2B2"/>
        </w:tcBorders>
      </w:tcPr>
    </w:tblStylePr>
    <w:tblStylePr w:type="lastRow">
      <w:rPr>
        <w:b/>
        <w:bCs/>
      </w:rPr>
      <w:tblPr/>
      <w:tcPr>
        <w:tcBorders>
          <w:top w:val="double" w:sz="2" w:space="0" w:color="B2B2B2"/>
        </w:tcBorders>
      </w:tcPr>
    </w:tblStylePr>
    <w:tblStylePr w:type="firstCol">
      <w:rPr>
        <w:b/>
        <w:bCs/>
      </w:rPr>
    </w:tblStylePr>
    <w:tblStylePr w:type="lastCol">
      <w:rPr>
        <w:b/>
        <w:bCs/>
      </w:rPr>
    </w:tblStylePr>
  </w:style>
  <w:style w:type="paragraph" w:customStyle="1" w:styleId="TableRow">
    <w:name w:val="Table Row"/>
    <w:basedOn w:val="TableCell"/>
    <w:uiPriority w:val="10"/>
    <w:qFormat/>
    <w:rsid w:val="00517792"/>
    <w:pPr>
      <w:jc w:val="left"/>
    </w:pPr>
  </w:style>
  <w:style w:type="table" w:customStyle="1" w:styleId="GridTable1Light-Accent51">
    <w:name w:val="Grid Table 1 Light - Accent 51"/>
    <w:basedOn w:val="TableNormal"/>
    <w:next w:val="GridTable1Light-Accent52"/>
    <w:uiPriority w:val="46"/>
    <w:rsid w:val="00156910"/>
    <w:rPr>
      <w:rFonts w:eastAsia="SimSun"/>
      <w:position w:val="6"/>
    </w:rPr>
    <w:tblPr>
      <w:tblStyleRowBandSize w:val="1"/>
      <w:tblStyleColBandSize w:val="1"/>
      <w:tblBorders>
        <w:top w:val="single" w:sz="4" w:space="0" w:color="CBCBCB"/>
        <w:left w:val="single" w:sz="4" w:space="0" w:color="CBCBCB"/>
        <w:bottom w:val="single" w:sz="4" w:space="0" w:color="CBCBCB"/>
        <w:right w:val="single" w:sz="4" w:space="0" w:color="CBCBCB"/>
        <w:insideH w:val="single" w:sz="4" w:space="0" w:color="CBCBCB"/>
        <w:insideV w:val="single" w:sz="4" w:space="0" w:color="CBCBCB"/>
      </w:tblBorders>
    </w:tblPr>
    <w:tblStylePr w:type="firstRow">
      <w:rPr>
        <w:b/>
        <w:bCs/>
      </w:rPr>
      <w:tblPr/>
      <w:tcPr>
        <w:tcBorders>
          <w:bottom w:val="single" w:sz="12" w:space="0" w:color="B2B2B2"/>
        </w:tcBorders>
      </w:tcPr>
    </w:tblStylePr>
    <w:tblStylePr w:type="lastRow">
      <w:rPr>
        <w:b/>
        <w:bCs/>
      </w:rPr>
      <w:tblPr/>
      <w:tcPr>
        <w:tcBorders>
          <w:top w:val="double" w:sz="2" w:space="0" w:color="B2B2B2"/>
        </w:tcBorders>
      </w:tcPr>
    </w:tblStylePr>
    <w:tblStylePr w:type="firstCol">
      <w:rPr>
        <w:b/>
        <w:bCs/>
      </w:rPr>
    </w:tblStylePr>
    <w:tblStylePr w:type="lastCol">
      <w:rPr>
        <w:b/>
        <w:bCs/>
      </w:rPr>
    </w:tblStylePr>
  </w:style>
  <w:style w:type="table" w:customStyle="1" w:styleId="PlainTable31">
    <w:name w:val="Plain Table 31"/>
    <w:basedOn w:val="TableNormal"/>
    <w:next w:val="PlainTable32"/>
    <w:uiPriority w:val="43"/>
    <w:rsid w:val="00156910"/>
    <w:rPr>
      <w:rFonts w:eastAsia="SimSun"/>
      <w:position w:val="6"/>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ListTable4-Accent41">
    <w:name w:val="List Table 4 - Accent 41"/>
    <w:basedOn w:val="TableNormal"/>
    <w:next w:val="ListTable4-Accent42"/>
    <w:uiPriority w:val="49"/>
    <w:rsid w:val="00156910"/>
    <w:rPr>
      <w:rFonts w:eastAsia="SimSun"/>
      <w:position w:val="6"/>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tblBorders>
    </w:tblPr>
    <w:tblStylePr w:type="firstRow">
      <w:rPr>
        <w:b/>
        <w:bCs/>
        <w:color w:val="FFFFFF"/>
      </w:rPr>
      <w:tblPr/>
      <w:tcPr>
        <w:tcBorders>
          <w:top w:val="single" w:sz="4" w:space="0" w:color="7F7F7F"/>
          <w:left w:val="single" w:sz="4" w:space="0" w:color="7F7F7F"/>
          <w:bottom w:val="single" w:sz="4" w:space="0" w:color="7F7F7F"/>
          <w:right w:val="single" w:sz="4" w:space="0" w:color="7F7F7F"/>
          <w:insideH w:val="nil"/>
        </w:tcBorders>
        <w:shd w:val="clear" w:color="auto" w:fill="7F7F7F"/>
      </w:tcPr>
    </w:tblStylePr>
    <w:tblStylePr w:type="lastRow">
      <w:rPr>
        <w:b/>
        <w:bCs/>
      </w:rPr>
      <w:tblPr/>
      <w:tcPr>
        <w:tcBorders>
          <w:top w:val="doub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1Light-Accent41">
    <w:name w:val="Grid Table 1 Light - Accent 41"/>
    <w:basedOn w:val="TableNormal"/>
    <w:next w:val="GridTable1Light-Accent42"/>
    <w:uiPriority w:val="46"/>
    <w:rsid w:val="00156910"/>
    <w:rPr>
      <w:rFonts w:eastAsia="SimSun"/>
      <w:position w:val="6"/>
    </w:rPr>
    <w:tblPr>
      <w:tblStyleRowBandSize w:val="1"/>
      <w:tblStyleColBandSize w:val="1"/>
      <w:tblBorders>
        <w:top w:val="single" w:sz="4" w:space="0" w:color="CBCBCB"/>
        <w:left w:val="single" w:sz="4" w:space="0" w:color="CBCBCB"/>
        <w:bottom w:val="single" w:sz="4" w:space="0" w:color="CBCBCB"/>
        <w:right w:val="single" w:sz="4" w:space="0" w:color="CBCBCB"/>
        <w:insideH w:val="single" w:sz="4" w:space="0" w:color="CBCBCB"/>
        <w:insideV w:val="single" w:sz="4" w:space="0" w:color="CBCBCB"/>
      </w:tblBorders>
    </w:tblPr>
    <w:tblStylePr w:type="firstRow">
      <w:rPr>
        <w:b/>
        <w:bCs/>
      </w:rPr>
      <w:tblPr/>
      <w:tcPr>
        <w:tcBorders>
          <w:bottom w:val="single" w:sz="12" w:space="0" w:color="B2B2B2"/>
        </w:tcBorders>
      </w:tcPr>
    </w:tblStylePr>
    <w:tblStylePr w:type="lastRow">
      <w:rPr>
        <w:b/>
        <w:bCs/>
      </w:rPr>
      <w:tblPr/>
      <w:tcPr>
        <w:tcBorders>
          <w:top w:val="double" w:sz="2" w:space="0" w:color="B2B2B2"/>
        </w:tcBorders>
      </w:tcPr>
    </w:tblStylePr>
    <w:tblStylePr w:type="firstCol">
      <w:rPr>
        <w:b/>
        <w:bCs/>
      </w:rPr>
    </w:tblStylePr>
    <w:tblStylePr w:type="lastCol">
      <w:rPr>
        <w:b/>
        <w:bCs/>
      </w:rPr>
    </w:tblStylePr>
  </w:style>
  <w:style w:type="paragraph" w:customStyle="1" w:styleId="TableColumn">
    <w:name w:val="Table Column"/>
    <w:basedOn w:val="TableRow"/>
    <w:uiPriority w:val="10"/>
    <w:qFormat/>
    <w:rsid w:val="00517792"/>
    <w:pPr>
      <w:jc w:val="center"/>
    </w:pPr>
  </w:style>
  <w:style w:type="table" w:customStyle="1" w:styleId="ListTable3-Accent31">
    <w:name w:val="List Table 3 - Accent 31"/>
    <w:basedOn w:val="TableNormal"/>
    <w:next w:val="ListTable3-Accent32"/>
    <w:uiPriority w:val="48"/>
    <w:rsid w:val="00156910"/>
    <w:rPr>
      <w:rFonts w:eastAsia="SimSun"/>
      <w:position w:val="6"/>
    </w:rPr>
    <w:tblPr>
      <w:tblStyleRowBandSize w:val="1"/>
      <w:tblStyleColBandSize w:val="1"/>
      <w:tblBorders>
        <w:top w:val="single" w:sz="4" w:space="0" w:color="BFBFBF"/>
        <w:left w:val="single" w:sz="4" w:space="0" w:color="BFBFBF"/>
        <w:bottom w:val="single" w:sz="4" w:space="0" w:color="BFBFBF"/>
        <w:right w:val="single" w:sz="4" w:space="0" w:color="BFBFBF"/>
      </w:tblBorders>
    </w:tblPr>
    <w:tblStylePr w:type="firstRow">
      <w:rPr>
        <w:b/>
        <w:bCs/>
        <w:color w:val="FFFFFF"/>
      </w:rPr>
      <w:tblPr/>
      <w:tcPr>
        <w:shd w:val="clear" w:color="auto" w:fill="BFBFBF"/>
      </w:tcPr>
    </w:tblStylePr>
    <w:tblStylePr w:type="lastRow">
      <w:rPr>
        <w:b/>
        <w:bCs/>
      </w:rPr>
      <w:tblPr/>
      <w:tcPr>
        <w:tcBorders>
          <w:top w:val="double" w:sz="4" w:space="0" w:color="BFBFBF"/>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BFBFBF"/>
          <w:right w:val="single" w:sz="4" w:space="0" w:color="BFBFBF"/>
        </w:tcBorders>
      </w:tcPr>
    </w:tblStylePr>
    <w:tblStylePr w:type="band1Horz">
      <w:tblPr/>
      <w:tcPr>
        <w:tcBorders>
          <w:top w:val="single" w:sz="4" w:space="0" w:color="BFBFBF"/>
          <w:bottom w:val="single" w:sz="4" w:space="0" w:color="BFBFBF"/>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FBFBF"/>
          <w:left w:val="nil"/>
        </w:tcBorders>
      </w:tcPr>
    </w:tblStylePr>
    <w:tblStylePr w:type="swCell">
      <w:tblPr/>
      <w:tcPr>
        <w:tcBorders>
          <w:top w:val="double" w:sz="4" w:space="0" w:color="BFBFBF"/>
          <w:right w:val="nil"/>
        </w:tcBorders>
      </w:tcPr>
    </w:tblStylePr>
  </w:style>
  <w:style w:type="table" w:customStyle="1" w:styleId="ListTable4-Accent51">
    <w:name w:val="List Table 4 - Accent 51"/>
    <w:basedOn w:val="TableNormal"/>
    <w:next w:val="ListTable4-Accent52"/>
    <w:uiPriority w:val="49"/>
    <w:rsid w:val="00156910"/>
    <w:rPr>
      <w:rFonts w:eastAsia="SimSun"/>
      <w:position w:val="6"/>
    </w:rPr>
    <w:tblPr>
      <w:tblStyleRowBandSize w:val="1"/>
      <w:tblStyleColBandSize w:val="1"/>
      <w:tblBorders>
        <w:top w:val="single" w:sz="4" w:space="0" w:color="B2B2B2"/>
        <w:left w:val="single" w:sz="4" w:space="0" w:color="B2B2B2"/>
        <w:bottom w:val="single" w:sz="4" w:space="0" w:color="B2B2B2"/>
        <w:right w:val="single" w:sz="4" w:space="0" w:color="B2B2B2"/>
        <w:insideH w:val="single" w:sz="4" w:space="0" w:color="B2B2B2"/>
      </w:tblBorders>
    </w:tblPr>
    <w:tblStylePr w:type="firstRow">
      <w:rPr>
        <w:b/>
        <w:bCs/>
        <w:color w:val="FFFFFF"/>
      </w:rPr>
      <w:tblPr/>
      <w:tcPr>
        <w:tcBorders>
          <w:top w:val="single" w:sz="4" w:space="0" w:color="7F7F7F"/>
          <w:left w:val="single" w:sz="4" w:space="0" w:color="7F7F7F"/>
          <w:bottom w:val="single" w:sz="4" w:space="0" w:color="7F7F7F"/>
          <w:right w:val="single" w:sz="4" w:space="0" w:color="7F7F7F"/>
          <w:insideH w:val="nil"/>
        </w:tcBorders>
        <w:shd w:val="clear" w:color="auto" w:fill="7F7F7F"/>
      </w:tcPr>
    </w:tblStylePr>
    <w:tblStylePr w:type="lastRow">
      <w:rPr>
        <w:b/>
        <w:bCs/>
      </w:rPr>
      <w:tblPr/>
      <w:tcPr>
        <w:tcBorders>
          <w:top w:val="double" w:sz="4" w:space="0" w:color="B2B2B2"/>
        </w:tcBorders>
      </w:tcPr>
    </w:tblStylePr>
    <w:tblStylePr w:type="firstCol">
      <w:rPr>
        <w:b/>
        <w:bCs/>
        <w:color w:val="auto"/>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paragraph" w:customStyle="1" w:styleId="CoverClassification">
    <w:name w:val="CoverClassification"/>
    <w:basedOn w:val="CoverNormal"/>
    <w:unhideWhenUsed/>
    <w:rsid w:val="003974D4"/>
    <w:pPr>
      <w:autoSpaceDE w:val="0"/>
      <w:autoSpaceDN w:val="0"/>
      <w:adjustRightInd w:val="0"/>
      <w:textAlignment w:val="center"/>
    </w:pPr>
    <w:rPr>
      <w:rFonts w:cs="Bernini Sans"/>
      <w:b/>
      <w:bCs/>
      <w:color w:val="000000"/>
      <w:szCs w:val="22"/>
    </w:rPr>
  </w:style>
  <w:style w:type="paragraph" w:customStyle="1" w:styleId="CoverLanguage">
    <w:name w:val="CoverLanguage"/>
    <w:basedOn w:val="CoverNormal"/>
    <w:unhideWhenUsed/>
    <w:rsid w:val="003974D4"/>
    <w:pPr>
      <w:jc w:val="right"/>
    </w:pPr>
    <w:rPr>
      <w:b/>
    </w:rPr>
  </w:style>
  <w:style w:type="table" w:customStyle="1" w:styleId="ListTable4-Accent31">
    <w:name w:val="List Table 4 - Accent 31"/>
    <w:basedOn w:val="TableNormal"/>
    <w:next w:val="ListTable4-Accent32"/>
    <w:uiPriority w:val="49"/>
    <w:rsid w:val="00156910"/>
    <w:rPr>
      <w:rFonts w:eastAsia="SimSun"/>
      <w:position w:val="6"/>
    </w:rPr>
    <w:tblPr>
      <w:tblStyleRowBandSize w:val="1"/>
      <w:tblStyleColBandSize w:val="1"/>
      <w:tblBorders>
        <w:top w:val="single" w:sz="4" w:space="0" w:color="D8D8D8"/>
        <w:left w:val="single" w:sz="4" w:space="0" w:color="D8D8D8"/>
        <w:bottom w:val="single" w:sz="4" w:space="0" w:color="D8D8D8"/>
        <w:right w:val="single" w:sz="4" w:space="0" w:color="D8D8D8"/>
        <w:insideH w:val="single" w:sz="4" w:space="0" w:color="D8D8D8"/>
      </w:tblBorders>
    </w:tblPr>
    <w:tblStylePr w:type="firstRow">
      <w:rPr>
        <w:b/>
        <w:bCs/>
        <w:color w:val="FFFFFF"/>
      </w:rPr>
      <w:tblPr/>
      <w:tcPr>
        <w:tcBorders>
          <w:top w:val="single" w:sz="4" w:space="0" w:color="BFBFBF"/>
          <w:left w:val="single" w:sz="4" w:space="0" w:color="BFBFBF"/>
          <w:bottom w:val="single" w:sz="4" w:space="0" w:color="BFBFBF"/>
          <w:right w:val="single" w:sz="4" w:space="0" w:color="BFBFBF"/>
          <w:insideH w:val="nil"/>
        </w:tcBorders>
        <w:shd w:val="clear" w:color="auto" w:fill="BFBFBF"/>
      </w:tcPr>
    </w:tblStylePr>
    <w:tblStylePr w:type="lastRow">
      <w:rPr>
        <w:b/>
        <w:bCs/>
      </w:rPr>
      <w:tblPr/>
      <w:tcPr>
        <w:tcBorders>
          <w:top w:val="double" w:sz="4" w:space="0" w:color="D8D8D8"/>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1Light-Accent31">
    <w:name w:val="Grid Table 1 Light - Accent 31"/>
    <w:basedOn w:val="TableNormal"/>
    <w:next w:val="GridTable1Light-Accent32"/>
    <w:uiPriority w:val="46"/>
    <w:rsid w:val="00156910"/>
    <w:rPr>
      <w:rFonts w:eastAsia="SimSun"/>
      <w:position w:val="6"/>
    </w:rPr>
    <w:tblPr>
      <w:tblStyleRowBandSize w:val="1"/>
      <w:tblStyleColBandSize w:val="1"/>
      <w:tblBorders>
        <w:top w:val="single" w:sz="4" w:space="0" w:color="E5E5E5"/>
        <w:left w:val="single" w:sz="4" w:space="0" w:color="E5E5E5"/>
        <w:bottom w:val="single" w:sz="4" w:space="0" w:color="E5E5E5"/>
        <w:right w:val="single" w:sz="4" w:space="0" w:color="E5E5E5"/>
        <w:insideH w:val="single" w:sz="4" w:space="0" w:color="E5E5E5"/>
        <w:insideV w:val="single" w:sz="4" w:space="0" w:color="E5E5E5"/>
      </w:tblBorders>
    </w:tblPr>
    <w:tblStylePr w:type="firstRow">
      <w:rPr>
        <w:b/>
        <w:bCs/>
      </w:rPr>
      <w:tblPr/>
      <w:tcPr>
        <w:tcBorders>
          <w:bottom w:val="single" w:sz="12" w:space="0" w:color="D8D8D8"/>
        </w:tcBorders>
      </w:tcPr>
    </w:tblStylePr>
    <w:tblStylePr w:type="lastRow">
      <w:rPr>
        <w:b/>
        <w:bCs/>
      </w:rPr>
      <w:tblPr/>
      <w:tcPr>
        <w:tcBorders>
          <w:top w:val="double" w:sz="2" w:space="0" w:color="D8D8D8"/>
        </w:tcBorders>
      </w:tcPr>
    </w:tblStylePr>
    <w:tblStylePr w:type="firstCol">
      <w:rPr>
        <w:b/>
        <w:bCs/>
      </w:rPr>
    </w:tblStylePr>
    <w:tblStylePr w:type="lastCol">
      <w:rPr>
        <w:b/>
        <w:bCs/>
      </w:rPr>
    </w:tblStylePr>
  </w:style>
  <w:style w:type="table" w:customStyle="1" w:styleId="ListTable1Light-Accent61">
    <w:name w:val="List Table 1 Light - Accent 61"/>
    <w:basedOn w:val="TableNormal"/>
    <w:next w:val="ListTable1Light-Accent62"/>
    <w:uiPriority w:val="46"/>
    <w:rsid w:val="00156910"/>
    <w:rPr>
      <w:rFonts w:eastAsia="SimSun"/>
      <w:position w:val="6"/>
    </w:rPr>
    <w:tblPr>
      <w:tblStyleRowBandSize w:val="1"/>
      <w:tblStyleColBandSize w:val="1"/>
    </w:tblPr>
    <w:tblStylePr w:type="firstRow">
      <w:rPr>
        <w:b/>
        <w:bCs/>
      </w:rPr>
      <w:tblPr/>
      <w:tcPr>
        <w:tcBorders>
          <w:bottom w:val="single" w:sz="4" w:space="0" w:color="B2B2B2"/>
        </w:tcBorders>
      </w:tcPr>
    </w:tblStylePr>
    <w:tblStylePr w:type="lastRow">
      <w:rPr>
        <w:b/>
        <w:bCs/>
      </w:rPr>
      <w:tblPr/>
      <w:tcPr>
        <w:tcBorders>
          <w:top w:val="single" w:sz="4" w:space="0" w:color="B2B2B2"/>
        </w:tcBorders>
      </w:tc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table" w:customStyle="1" w:styleId="GridTable6Colorful1">
    <w:name w:val="Grid Table 6 Colorful1"/>
    <w:basedOn w:val="TableNormal"/>
    <w:next w:val="GridTable6Colorful2"/>
    <w:uiPriority w:val="51"/>
    <w:rsid w:val="00156910"/>
    <w:rPr>
      <w:rFonts w:eastAsia="SimSun"/>
      <w:color w:val="000000"/>
      <w:position w:val="6"/>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ListTable2-Accent51">
    <w:name w:val="List Table 2 - Accent 51"/>
    <w:basedOn w:val="TableNormal"/>
    <w:next w:val="ListTable2-Accent52"/>
    <w:uiPriority w:val="47"/>
    <w:rsid w:val="00156910"/>
    <w:rPr>
      <w:rFonts w:eastAsia="SimSun"/>
      <w:position w:val="6"/>
    </w:rPr>
    <w:tblPr>
      <w:tblStyleRowBandSize w:val="1"/>
      <w:tblStyleColBandSize w:val="1"/>
      <w:tblBorders>
        <w:top w:val="single" w:sz="4" w:space="0" w:color="B2B2B2"/>
        <w:bottom w:val="single" w:sz="4" w:space="0" w:color="B2B2B2"/>
        <w:insideH w:val="single" w:sz="4" w:space="0" w:color="B2B2B2"/>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cPr>
    </w:tblStylePr>
    <w:tblStylePr w:type="band1Horz">
      <w:tblPr/>
      <w:tcPr>
        <w:shd w:val="clear" w:color="auto" w:fill="E5E5E5"/>
      </w:tcPr>
    </w:tblStylePr>
  </w:style>
  <w:style w:type="paragraph" w:customStyle="1" w:styleId="HeaderOdd">
    <w:name w:val="Header Odd"/>
    <w:basedOn w:val="Normal"/>
    <w:next w:val="Normal"/>
    <w:unhideWhenUsed/>
    <w:rsid w:val="00A552AE"/>
    <w:pPr>
      <w:pBdr>
        <w:bottom w:val="single" w:sz="4" w:space="0" w:color="auto"/>
      </w:pBdr>
      <w:tabs>
        <w:tab w:val="clear" w:pos="850"/>
        <w:tab w:val="clear" w:pos="1191"/>
        <w:tab w:val="clear" w:pos="1531"/>
      </w:tabs>
      <w:autoSpaceDE w:val="0"/>
      <w:autoSpaceDN w:val="0"/>
      <w:adjustRightInd w:val="0"/>
      <w:jc w:val="right"/>
      <w:textAlignment w:val="center"/>
    </w:pPr>
    <w:rPr>
      <w:rFonts w:eastAsia="SimSun" w:cs="Bernini Sans"/>
      <w:bCs/>
      <w:sz w:val="2"/>
      <w:lang w:val="fr-FR"/>
    </w:rPr>
  </w:style>
  <w:style w:type="paragraph" w:customStyle="1" w:styleId="HeaderEven">
    <w:name w:val="Header Even"/>
    <w:basedOn w:val="HeaderOdd"/>
    <w:unhideWhenUsed/>
    <w:rsid w:val="00A552AE"/>
    <w:pPr>
      <w:jc w:val="left"/>
    </w:pPr>
    <w:rPr>
      <w:bCs w:val="0"/>
    </w:rPr>
  </w:style>
  <w:style w:type="paragraph" w:styleId="IntenseQuote">
    <w:name w:val="Intense Quote"/>
    <w:basedOn w:val="Normal"/>
    <w:next w:val="Normal"/>
    <w:link w:val="IntenseQuoteChar"/>
    <w:uiPriority w:val="30"/>
    <w:semiHidden/>
    <w:rsid w:val="00156910"/>
    <w:pPr>
      <w:pBdr>
        <w:top w:val="single" w:sz="4" w:space="10" w:color="4F81BD" w:themeColor="accent1"/>
        <w:bottom w:val="single" w:sz="4" w:space="10" w:color="4F81BD" w:themeColor="accent1"/>
      </w:pBdr>
      <w:spacing w:before="360" w:after="360"/>
      <w:ind w:left="864" w:right="864"/>
      <w:jc w:val="center"/>
    </w:pPr>
    <w:rPr>
      <w:i/>
      <w:iCs/>
      <w:color w:val="404040"/>
    </w:rPr>
  </w:style>
  <w:style w:type="character" w:customStyle="1" w:styleId="IntenseQuoteChar1">
    <w:name w:val="Intense Quote Char1"/>
    <w:basedOn w:val="DefaultParagraphFont"/>
    <w:uiPriority w:val="30"/>
    <w:semiHidden/>
    <w:rsid w:val="00156910"/>
    <w:rPr>
      <w:i/>
      <w:iCs/>
      <w:color w:val="4F81BD" w:themeColor="accent1"/>
      <w:sz w:val="22"/>
      <w:szCs w:val="22"/>
      <w:lang w:val="en-GB"/>
    </w:rPr>
  </w:style>
  <w:style w:type="character" w:styleId="Hyperlink">
    <w:name w:val="Hyperlink"/>
    <w:basedOn w:val="DefaultParagraphFont"/>
    <w:uiPriority w:val="99"/>
    <w:unhideWhenUsed/>
    <w:rsid w:val="00312A83"/>
    <w:rPr>
      <w:color w:val="2B3ECD"/>
      <w:u w:val="single"/>
    </w:rPr>
  </w:style>
  <w:style w:type="character" w:styleId="FollowedHyperlink">
    <w:name w:val="FollowedHyperlink"/>
    <w:basedOn w:val="DefaultParagraphFont"/>
    <w:uiPriority w:val="99"/>
    <w:semiHidden/>
    <w:unhideWhenUsed/>
    <w:rsid w:val="00156910"/>
    <w:rPr>
      <w:color w:val="800080" w:themeColor="followedHyperlink"/>
      <w:u w:val="single"/>
    </w:rPr>
  </w:style>
  <w:style w:type="character" w:styleId="SubtleEmphasis">
    <w:name w:val="Subtle Emphasis"/>
    <w:basedOn w:val="DefaultParagraphFont"/>
    <w:uiPriority w:val="19"/>
    <w:semiHidden/>
    <w:rsid w:val="00156910"/>
    <w:rPr>
      <w:i/>
      <w:iCs/>
      <w:color w:val="404040" w:themeColor="text1" w:themeTint="BF"/>
    </w:rPr>
  </w:style>
  <w:style w:type="character" w:styleId="SubtleReference">
    <w:name w:val="Subtle Reference"/>
    <w:basedOn w:val="DefaultParagraphFont"/>
    <w:uiPriority w:val="31"/>
    <w:semiHidden/>
    <w:rsid w:val="00156910"/>
    <w:rPr>
      <w:smallCaps/>
      <w:color w:val="5A5A5A" w:themeColor="text1" w:themeTint="A5"/>
    </w:rPr>
  </w:style>
  <w:style w:type="character" w:styleId="IntenseReference">
    <w:name w:val="Intense Reference"/>
    <w:basedOn w:val="DefaultParagraphFont"/>
    <w:uiPriority w:val="32"/>
    <w:semiHidden/>
    <w:rsid w:val="00156910"/>
    <w:rPr>
      <w:b/>
      <w:bCs/>
      <w:smallCaps/>
      <w:color w:val="4F81BD" w:themeColor="accent1"/>
      <w:spacing w:val="5"/>
    </w:rPr>
  </w:style>
  <w:style w:type="table" w:styleId="TableGrid">
    <w:name w:val="Table Grid"/>
    <w:basedOn w:val="TableNormal"/>
    <w:uiPriority w:val="59"/>
    <w:rsid w:val="001569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2">
    <w:name w:val="Table Grid Light2"/>
    <w:basedOn w:val="TableNormal"/>
    <w:uiPriority w:val="40"/>
    <w:rsid w:val="0015691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52">
    <w:name w:val="Plain Table 52"/>
    <w:basedOn w:val="TableNormal"/>
    <w:uiPriority w:val="45"/>
    <w:rsid w:val="0015691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1Light-Accent62">
    <w:name w:val="Grid Table 1 Light - Accent 62"/>
    <w:basedOn w:val="TableNormal"/>
    <w:uiPriority w:val="46"/>
    <w:rsid w:val="00156910"/>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customStyle="1" w:styleId="GridTable1Light-Accent52">
    <w:name w:val="Grid Table 1 Light - Accent 52"/>
    <w:basedOn w:val="TableNormal"/>
    <w:uiPriority w:val="46"/>
    <w:rsid w:val="00156910"/>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customStyle="1" w:styleId="PlainTable32">
    <w:name w:val="Plain Table 32"/>
    <w:basedOn w:val="TableNormal"/>
    <w:uiPriority w:val="43"/>
    <w:rsid w:val="0015691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ListTable4-Accent42">
    <w:name w:val="List Table 4 - Accent 42"/>
    <w:basedOn w:val="TableNormal"/>
    <w:uiPriority w:val="49"/>
    <w:rsid w:val="00156910"/>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1Light-Accent42">
    <w:name w:val="Grid Table 1 Light - Accent 42"/>
    <w:basedOn w:val="TableNormal"/>
    <w:uiPriority w:val="46"/>
    <w:rsid w:val="00156910"/>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customStyle="1" w:styleId="ListTable3-Accent32">
    <w:name w:val="List Table 3 - Accent 32"/>
    <w:basedOn w:val="TableNormal"/>
    <w:uiPriority w:val="48"/>
    <w:rsid w:val="00156910"/>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customStyle="1" w:styleId="ListTable4-Accent52">
    <w:name w:val="List Table 4 - Accent 52"/>
    <w:basedOn w:val="TableNormal"/>
    <w:uiPriority w:val="49"/>
    <w:rsid w:val="00156910"/>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32">
    <w:name w:val="List Table 4 - Accent 32"/>
    <w:basedOn w:val="TableNormal"/>
    <w:uiPriority w:val="49"/>
    <w:rsid w:val="00156910"/>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1Light-Accent32">
    <w:name w:val="Grid Table 1 Light - Accent 32"/>
    <w:basedOn w:val="TableNormal"/>
    <w:uiPriority w:val="46"/>
    <w:rsid w:val="00156910"/>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ListTable1Light-Accent62">
    <w:name w:val="List Table 1 Light - Accent 62"/>
    <w:basedOn w:val="TableNormal"/>
    <w:uiPriority w:val="46"/>
    <w:rsid w:val="00156910"/>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6Colorful2">
    <w:name w:val="Grid Table 6 Colorful2"/>
    <w:basedOn w:val="TableNormal"/>
    <w:uiPriority w:val="51"/>
    <w:rsid w:val="00156910"/>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52">
    <w:name w:val="List Table 2 - Accent 52"/>
    <w:basedOn w:val="TableNormal"/>
    <w:uiPriority w:val="47"/>
    <w:rsid w:val="00156910"/>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CoverTable">
    <w:name w:val="CoverTable"/>
    <w:basedOn w:val="CoverNormalChar"/>
    <w:uiPriority w:val="1"/>
    <w:unhideWhenUsed/>
    <w:rsid w:val="00791C75"/>
    <w:rPr>
      <w:rFonts w:ascii="Times New Roman" w:eastAsiaTheme="minorEastAsia" w:hAnsi="Times New Roman"/>
      <w:b w:val="0"/>
      <w:i w:val="0"/>
      <w:position w:val="6"/>
      <w:sz w:val="20"/>
      <w:szCs w:val="21"/>
      <w:lang w:val="en-GB" w:eastAsia="en-US"/>
    </w:rPr>
  </w:style>
  <w:style w:type="table" w:customStyle="1" w:styleId="GridTable2-Accent11">
    <w:name w:val="Grid Table 2 - Accent 11"/>
    <w:basedOn w:val="TableNormal"/>
    <w:uiPriority w:val="47"/>
    <w:rsid w:val="00B935E3"/>
    <w:rPr>
      <w:rFonts w:eastAsiaTheme="minorEastAsia" w:cstheme="minorBidi"/>
      <w:position w:val="6"/>
      <w:lang w:val="en-GB" w:eastAsia="ko-KR"/>
    </w:r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AnnexH2">
    <w:name w:val="Annex H2"/>
    <w:basedOn w:val="Normal"/>
    <w:next w:val="Para0"/>
    <w:uiPriority w:val="15"/>
    <w:qFormat/>
    <w:rsid w:val="00517792"/>
    <w:pPr>
      <w:keepNext/>
      <w:spacing w:before="240" w:after="240"/>
      <w:ind w:right="680"/>
      <w:jc w:val="left"/>
      <w:outlineLvl w:val="1"/>
    </w:pPr>
    <w:rPr>
      <w:b/>
      <w:color w:val="4E81BD"/>
      <w:sz w:val="24"/>
    </w:rPr>
  </w:style>
  <w:style w:type="paragraph" w:customStyle="1" w:styleId="AnnexH3">
    <w:name w:val="Annex H3"/>
    <w:basedOn w:val="Normal"/>
    <w:next w:val="Para0"/>
    <w:uiPriority w:val="15"/>
    <w:qFormat/>
    <w:rsid w:val="00517792"/>
    <w:pPr>
      <w:keepNext/>
      <w:keepLines/>
      <w:spacing w:before="240" w:after="120"/>
      <w:ind w:left="680" w:right="680"/>
      <w:jc w:val="left"/>
      <w:outlineLvl w:val="2"/>
    </w:pPr>
    <w:rPr>
      <w:b/>
      <w:i/>
      <w:color w:val="262626"/>
      <w:sz w:val="24"/>
    </w:rPr>
  </w:style>
  <w:style w:type="paragraph" w:customStyle="1" w:styleId="BulletedList">
    <w:name w:val="Bulleted List"/>
    <w:basedOn w:val="ListParagraph"/>
    <w:uiPriority w:val="6"/>
    <w:qFormat/>
    <w:rsid w:val="00517792"/>
    <w:pPr>
      <w:numPr>
        <w:numId w:val="55"/>
      </w:numPr>
      <w:spacing w:after="120"/>
      <w:ind w:right="680"/>
    </w:pPr>
  </w:style>
  <w:style w:type="paragraph" w:customStyle="1" w:styleId="NumberedList">
    <w:name w:val="Numbered List"/>
    <w:basedOn w:val="ListParagraph"/>
    <w:uiPriority w:val="5"/>
    <w:qFormat/>
    <w:rsid w:val="00517792"/>
    <w:pPr>
      <w:numPr>
        <w:numId w:val="56"/>
      </w:numPr>
      <w:spacing w:after="120"/>
      <w:ind w:right="680"/>
    </w:pPr>
  </w:style>
  <w:style w:type="paragraph" w:customStyle="1" w:styleId="CoverCommittee">
    <w:name w:val="CoverCommittee"/>
    <w:basedOn w:val="CoverNormal"/>
    <w:rsid w:val="00011D4C"/>
    <w:rPr>
      <w:b/>
    </w:rPr>
  </w:style>
  <w:style w:type="paragraph" w:customStyle="1" w:styleId="CoverWorkingParty">
    <w:name w:val="CoverWorkingParty"/>
    <w:basedOn w:val="CoverNormal"/>
    <w:rsid w:val="005C1BFB"/>
    <w:rPr>
      <w:b/>
      <w:sz w:val="24"/>
    </w:rPr>
  </w:style>
  <w:style w:type="paragraph" w:customStyle="1" w:styleId="CoverPwbCode">
    <w:name w:val="CoverPwbCode"/>
    <w:basedOn w:val="CoverJobTicket"/>
    <w:rsid w:val="003974D4"/>
    <w:pPr>
      <w:spacing w:after="120"/>
    </w:pPr>
    <w:rPr>
      <w:noProof/>
      <w:lang w:eastAsia="en-GB"/>
    </w:rPr>
  </w:style>
  <w:style w:type="character" w:customStyle="1" w:styleId="DefaultCoverPage">
    <w:name w:val="DefaultCoverPage"/>
    <w:basedOn w:val="DefaultParagraphFont"/>
    <w:uiPriority w:val="1"/>
    <w:rsid w:val="003076F3"/>
    <w:rPr>
      <w:rFonts w:ascii="Times New Roman" w:hAnsi="Times New Roman"/>
      <w:sz w:val="21"/>
    </w:rPr>
  </w:style>
  <w:style w:type="paragraph" w:customStyle="1" w:styleId="Figure">
    <w:name w:val="Figure"/>
    <w:basedOn w:val="Normal"/>
    <w:rsid w:val="00276DDE"/>
    <w:pPr>
      <w:keepNext/>
      <w:keepLines/>
      <w:jc w:val="center"/>
    </w:pPr>
    <w:rPr>
      <w:noProof/>
      <w:lang w:eastAsia="ko-KR"/>
    </w:rPr>
  </w:style>
  <w:style w:type="paragraph" w:customStyle="1" w:styleId="StatLinkLogo">
    <w:name w:val="StatLink Logo"/>
    <w:basedOn w:val="Para0"/>
    <w:next w:val="Para0"/>
    <w:rsid w:val="007361BF"/>
    <w:pPr>
      <w:spacing w:after="240"/>
      <w:jc w:val="right"/>
    </w:pPr>
    <w:rPr>
      <w:rFonts w:ascii="StatLink" w:hAnsi="StatLink"/>
      <w:sz w:val="18"/>
    </w:rPr>
  </w:style>
  <w:style w:type="character" w:customStyle="1" w:styleId="StatLinkDOI">
    <w:name w:val="StatLink DOI"/>
    <w:basedOn w:val="DefaultParagraphFont"/>
    <w:uiPriority w:val="1"/>
    <w:rsid w:val="007361BF"/>
    <w:rPr>
      <w:rFonts w:ascii="Times New Roman" w:hAnsi="Times New Roman"/>
      <w:sz w:val="18"/>
    </w:rPr>
  </w:style>
  <w:style w:type="paragraph" w:customStyle="1" w:styleId="Title2">
    <w:name w:val="Title 2"/>
    <w:basedOn w:val="Heading2"/>
    <w:next w:val="Para0"/>
    <w:qFormat/>
    <w:rsid w:val="00517792"/>
    <w:pPr>
      <w:numPr>
        <w:ilvl w:val="0"/>
        <w:numId w:val="0"/>
      </w:numPr>
    </w:pPr>
    <w:rPr>
      <w:color w:val="4E81BD"/>
    </w:rPr>
  </w:style>
  <w:style w:type="paragraph" w:customStyle="1" w:styleId="Title3">
    <w:name w:val="Title 3"/>
    <w:basedOn w:val="Normal"/>
    <w:next w:val="Para0"/>
    <w:qFormat/>
    <w:rsid w:val="00517792"/>
    <w:pPr>
      <w:keepNext/>
      <w:keepLines/>
      <w:spacing w:before="240" w:after="120"/>
      <w:ind w:left="680" w:right="680"/>
      <w:jc w:val="left"/>
      <w:outlineLvl w:val="2"/>
    </w:pPr>
    <w:rPr>
      <w:b/>
      <w:i/>
      <w:sz w:val="24"/>
    </w:rPr>
  </w:style>
  <w:style w:type="table" w:styleId="LightShading-Accent1">
    <w:name w:val="Light Shading Accent 1"/>
    <w:basedOn w:val="TableNormal"/>
    <w:uiPriority w:val="60"/>
    <w:rsid w:val="009500BB"/>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OECD">
    <w:name w:val="OECD"/>
    <w:basedOn w:val="LightShading-Accent1"/>
    <w:uiPriority w:val="99"/>
    <w:rsid w:val="00193F33"/>
    <w:rPr>
      <w:color w:val="auto"/>
    </w:rPr>
    <w:tblPr>
      <w:jc w:val="center"/>
      <w:tblBorders>
        <w:top w:val="single" w:sz="12" w:space="0" w:color="auto"/>
        <w:bottom w:val="single" w:sz="12" w:space="0" w:color="auto"/>
      </w:tblBorders>
    </w:tblPr>
    <w:trPr>
      <w:jc w:val="center"/>
    </w:trPr>
    <w:tcPr>
      <w:shd w:val="clear" w:color="auto" w:fill="FFFFFF" w:themeFill="background1"/>
    </w:tcPr>
    <w:tblStylePr w:type="firstRow">
      <w:pPr>
        <w:spacing w:before="0" w:after="0" w:line="240" w:lineRule="auto"/>
      </w:pPr>
      <w:rPr>
        <w:b w:val="0"/>
        <w:bCs/>
      </w:rPr>
      <w:tblPr/>
      <w:tcPr>
        <w:tcBorders>
          <w:top w:val="single" w:sz="12" w:space="0" w:color="4E81BD"/>
          <w:left w:val="nil"/>
          <w:bottom w:val="nil"/>
          <w:right w:val="nil"/>
          <w:insideH w:val="nil"/>
          <w:insideV w:val="nil"/>
        </w:tcBorders>
      </w:tcPr>
    </w:tblStylePr>
    <w:tblStylePr w:type="lastRow">
      <w:pPr>
        <w:spacing w:before="0" w:after="0" w:line="240" w:lineRule="auto"/>
      </w:pPr>
      <w:rPr>
        <w:b w:val="0"/>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val="0"/>
        <w:bCs/>
      </w:rPr>
    </w:tblStylePr>
    <w:tblStylePr w:type="lastCol">
      <w:rPr>
        <w:b w:val="0"/>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EDF0F7"/>
      </w:tcPr>
    </w:tblStylePr>
    <w:tblStylePr w:type="band2Horz">
      <w:tblPr/>
      <w:tcPr>
        <w:shd w:val="clear" w:color="auto" w:fill="FFFFFF" w:themeFill="background1"/>
      </w:tcPr>
    </w:tblStylePr>
  </w:style>
  <w:style w:type="paragraph" w:customStyle="1" w:styleId="Abstract">
    <w:name w:val="Abstract"/>
    <w:basedOn w:val="Para0"/>
    <w:uiPriority w:val="2"/>
    <w:qFormat/>
    <w:rsid w:val="00517792"/>
    <w:pPr>
      <w:pBdr>
        <w:top w:val="single" w:sz="4" w:space="12" w:color="auto"/>
        <w:left w:val="single" w:sz="4" w:space="12" w:color="auto"/>
        <w:bottom w:val="single" w:sz="4" w:space="12" w:color="auto"/>
        <w:right w:val="single" w:sz="4" w:space="12" w:color="auto"/>
      </w:pBdr>
    </w:pPr>
    <w:rPr>
      <w:i/>
    </w:rPr>
  </w:style>
  <w:style w:type="paragraph" w:customStyle="1" w:styleId="BoxHeading">
    <w:name w:val="Box Heading"/>
    <w:basedOn w:val="Normal"/>
    <w:next w:val="Para0"/>
    <w:uiPriority w:val="8"/>
    <w:qFormat/>
    <w:rsid w:val="00517792"/>
    <w:pPr>
      <w:keepNext/>
      <w:spacing w:before="240" w:after="120"/>
      <w:ind w:left="680" w:right="680"/>
      <w:jc w:val="left"/>
    </w:pPr>
    <w:rPr>
      <w:b/>
      <w:sz w:val="20"/>
    </w:rPr>
  </w:style>
  <w:style w:type="paragraph" w:customStyle="1" w:styleId="CoverInformation">
    <w:name w:val="CoverInformation"/>
    <w:basedOn w:val="CoverSubTitle"/>
    <w:rsid w:val="00751A55"/>
  </w:style>
  <w:style w:type="character" w:customStyle="1" w:styleId="CoverDateChar">
    <w:name w:val="CoverDate Char"/>
    <w:basedOn w:val="CoverNormalChar"/>
    <w:link w:val="CoverDate"/>
    <w:rsid w:val="003974D4"/>
    <w:rPr>
      <w:rFonts w:ascii="Times New Roman" w:eastAsia="SimSun" w:hAnsi="Times New Roman"/>
      <w:b/>
      <w:color w:val="FFFFFF" w:themeColor="background1"/>
      <w:sz w:val="18"/>
      <w:lang w:val="en-GB"/>
    </w:rPr>
  </w:style>
  <w:style w:type="paragraph" w:customStyle="1" w:styleId="Session">
    <w:name w:val="Session"/>
    <w:basedOn w:val="Normal"/>
    <w:next w:val="Time"/>
    <w:uiPriority w:val="3"/>
    <w:rsid w:val="002C4BC8"/>
    <w:pPr>
      <w:keepNext/>
      <w:spacing w:after="240"/>
      <w:jc w:val="left"/>
    </w:pPr>
    <w:rPr>
      <w:i/>
      <w:u w:val="single"/>
    </w:rPr>
  </w:style>
  <w:style w:type="paragraph" w:customStyle="1" w:styleId="GroupHeading">
    <w:name w:val="Group Heading"/>
    <w:basedOn w:val="Normal"/>
    <w:next w:val="Para0"/>
    <w:uiPriority w:val="6"/>
    <w:rsid w:val="00184759"/>
    <w:pPr>
      <w:keepNext/>
      <w:numPr>
        <w:numId w:val="21"/>
      </w:numPr>
      <w:pBdr>
        <w:top w:val="single" w:sz="4" w:space="1" w:color="auto"/>
      </w:pBdr>
      <w:spacing w:after="120"/>
      <w:jc w:val="left"/>
    </w:pPr>
    <w:rPr>
      <w:b/>
      <w:i/>
      <w:color w:val="4E81BD"/>
    </w:rPr>
  </w:style>
  <w:style w:type="paragraph" w:customStyle="1" w:styleId="Break">
    <w:name w:val="Break"/>
    <w:basedOn w:val="Normal"/>
    <w:next w:val="Time"/>
    <w:uiPriority w:val="7"/>
    <w:rsid w:val="00184759"/>
    <w:pPr>
      <w:pBdr>
        <w:top w:val="single" w:sz="4" w:space="4" w:color="auto"/>
        <w:bottom w:val="single" w:sz="4" w:space="4" w:color="auto"/>
      </w:pBdr>
      <w:shd w:val="pct5" w:color="auto" w:fill="auto"/>
      <w:jc w:val="center"/>
    </w:pPr>
    <w:rPr>
      <w:i/>
    </w:rPr>
  </w:style>
  <w:style w:type="paragraph" w:customStyle="1" w:styleId="Time">
    <w:name w:val="Time"/>
    <w:basedOn w:val="Normal"/>
    <w:next w:val="Heading1"/>
    <w:uiPriority w:val="4"/>
    <w:rsid w:val="002C4BC8"/>
    <w:pPr>
      <w:keepNext/>
      <w:spacing w:before="360" w:after="120"/>
    </w:pPr>
    <w:rPr>
      <w:i/>
      <w:sz w:val="20"/>
    </w:rPr>
  </w:style>
  <w:style w:type="paragraph" w:customStyle="1" w:styleId="RefDocuments">
    <w:name w:val="Ref Documents"/>
    <w:basedOn w:val="Para0"/>
    <w:next w:val="Annotation"/>
    <w:uiPriority w:val="6"/>
    <w:rsid w:val="002C4BC8"/>
    <w:pPr>
      <w:ind w:left="7371"/>
      <w:contextualSpacing/>
      <w:jc w:val="left"/>
    </w:pPr>
  </w:style>
  <w:style w:type="paragraph" w:customStyle="1" w:styleId="Action">
    <w:name w:val="Action"/>
    <w:basedOn w:val="Para0"/>
    <w:next w:val="Heading2"/>
    <w:uiPriority w:val="4"/>
    <w:rsid w:val="00F11585"/>
    <w:rPr>
      <w:u w:val="single"/>
    </w:rPr>
  </w:style>
  <w:style w:type="paragraph" w:customStyle="1" w:styleId="SpecialItem">
    <w:name w:val="Special Item"/>
    <w:basedOn w:val="Normal"/>
    <w:next w:val="Time"/>
    <w:uiPriority w:val="8"/>
    <w:rsid w:val="002C4BC8"/>
    <w:pPr>
      <w:spacing w:before="240" w:after="240"/>
    </w:pPr>
    <w:rPr>
      <w:i/>
    </w:rPr>
  </w:style>
  <w:style w:type="paragraph" w:customStyle="1" w:styleId="ImportantInformation">
    <w:name w:val="Important Information"/>
    <w:basedOn w:val="Para0"/>
    <w:uiPriority w:val="2"/>
    <w:rsid w:val="002C4BC8"/>
    <w:pPr>
      <w:spacing w:after="480"/>
      <w:ind w:left="284" w:right="284"/>
      <w:contextualSpacing/>
      <w:jc w:val="center"/>
    </w:pPr>
  </w:style>
  <w:style w:type="paragraph" w:customStyle="1" w:styleId="CoverTitlePublication">
    <w:name w:val="CoverTitlePublication"/>
    <w:basedOn w:val="CoverNormal"/>
    <w:rsid w:val="00E613BF"/>
    <w:pPr>
      <w:jc w:val="center"/>
    </w:pPr>
    <w:rPr>
      <w:rFonts w:ascii="Caecilia Roman" w:hAnsi="Caecilia Roman"/>
      <w:b/>
      <w:sz w:val="52"/>
    </w:rPr>
  </w:style>
  <w:style w:type="paragraph" w:customStyle="1" w:styleId="CoverSubtitlePublication">
    <w:name w:val="CoverSubtitlePublication"/>
    <w:basedOn w:val="CoverTitlePublication"/>
    <w:rsid w:val="00E613BF"/>
    <w:rPr>
      <w:b w:val="0"/>
      <w:sz w:val="40"/>
    </w:rPr>
  </w:style>
  <w:style w:type="paragraph" w:customStyle="1" w:styleId="FooterClassification">
    <w:name w:val="Footer Classification"/>
    <w:basedOn w:val="Normal"/>
    <w:rsid w:val="00C4025B"/>
    <w:pPr>
      <w:jc w:val="right"/>
    </w:pPr>
    <w:rPr>
      <w:sz w:val="16"/>
    </w:rPr>
  </w:style>
  <w:style w:type="paragraph" w:customStyle="1" w:styleId="CoverSeriesTitlePublication">
    <w:name w:val="CoverSeriesTitlePublication"/>
    <w:basedOn w:val="CoverNormal"/>
    <w:rsid w:val="00242F6F"/>
    <w:pPr>
      <w:spacing w:after="40"/>
    </w:pPr>
    <w:rPr>
      <w:rFonts w:ascii="Caecilia Roman" w:eastAsiaTheme="minorHAnsi" w:hAnsi="Caecilia Roman"/>
      <w:sz w:val="32"/>
    </w:rPr>
  </w:style>
  <w:style w:type="paragraph" w:customStyle="1" w:styleId="Annotation">
    <w:name w:val="Annotation"/>
    <w:basedOn w:val="Normal"/>
    <w:uiPriority w:val="7"/>
    <w:rsid w:val="002C4BC8"/>
    <w:pPr>
      <w:numPr>
        <w:numId w:val="22"/>
      </w:numPr>
      <w:tabs>
        <w:tab w:val="clear" w:pos="850"/>
        <w:tab w:val="clear" w:pos="1191"/>
        <w:tab w:val="clear" w:pos="1531"/>
        <w:tab w:val="left" w:pos="7371"/>
      </w:tabs>
      <w:spacing w:before="120" w:after="120"/>
      <w:jc w:val="left"/>
    </w:pPr>
    <w:rPr>
      <w:sz w:val="20"/>
    </w:rPr>
  </w:style>
  <w:style w:type="paragraph" w:customStyle="1" w:styleId="Conclusion">
    <w:name w:val="Conclusion"/>
    <w:basedOn w:val="Para0"/>
    <w:next w:val="Heading1"/>
    <w:uiPriority w:val="5"/>
    <w:rsid w:val="00184759"/>
    <w:pPr>
      <w:spacing w:before="360" w:after="360"/>
      <w:jc w:val="center"/>
    </w:pPr>
    <w:rPr>
      <w:b/>
    </w:rPr>
  </w:style>
  <w:style w:type="paragraph" w:customStyle="1" w:styleId="ProposedAction">
    <w:name w:val="Proposed Action"/>
    <w:basedOn w:val="Para0"/>
    <w:rsid w:val="00ED7CCA"/>
    <w:pPr>
      <w:numPr>
        <w:numId w:val="14"/>
      </w:numPr>
      <w:spacing w:before="0" w:after="240"/>
    </w:pPr>
  </w:style>
  <w:style w:type="paragraph" w:customStyle="1" w:styleId="NL2">
    <w:name w:val="NL2"/>
    <w:basedOn w:val="Para0"/>
    <w:link w:val="NL2Char"/>
    <w:semiHidden/>
    <w:rsid w:val="00AE6C44"/>
    <w:pPr>
      <w:numPr>
        <w:numId w:val="15"/>
      </w:numPr>
      <w:tabs>
        <w:tab w:val="left" w:pos="340"/>
      </w:tabs>
      <w:spacing w:before="0"/>
      <w:ind w:left="1701" w:hanging="340"/>
      <w:contextualSpacing/>
    </w:pPr>
    <w:rPr>
      <w:noProof/>
    </w:rPr>
  </w:style>
  <w:style w:type="paragraph" w:customStyle="1" w:styleId="NL3">
    <w:name w:val="NL3"/>
    <w:basedOn w:val="Para0"/>
    <w:link w:val="NL3Char"/>
    <w:semiHidden/>
    <w:rsid w:val="00AE6C44"/>
    <w:pPr>
      <w:numPr>
        <w:numId w:val="16"/>
      </w:numPr>
      <w:tabs>
        <w:tab w:val="num" w:pos="360"/>
      </w:tabs>
      <w:spacing w:before="0"/>
      <w:ind w:left="1985" w:hanging="227"/>
      <w:contextualSpacing/>
    </w:pPr>
    <w:rPr>
      <w:noProof/>
    </w:rPr>
  </w:style>
  <w:style w:type="character" w:customStyle="1" w:styleId="ParaChar0">
    <w:name w:val="Para Char"/>
    <w:basedOn w:val="DefaultParagraphFont"/>
    <w:link w:val="Para0"/>
    <w:uiPriority w:val="4"/>
    <w:rsid w:val="00517792"/>
    <w:rPr>
      <w:rFonts w:ascii="Times New Roman" w:eastAsia="SimSun" w:hAnsi="Times New Roman"/>
      <w:sz w:val="22"/>
      <w:lang w:val="en-GB"/>
    </w:rPr>
  </w:style>
  <w:style w:type="character" w:customStyle="1" w:styleId="NL2Char">
    <w:name w:val="NL2 Char"/>
    <w:basedOn w:val="ParaChar0"/>
    <w:link w:val="NL2"/>
    <w:semiHidden/>
    <w:rsid w:val="00DF08DF"/>
    <w:rPr>
      <w:rFonts w:ascii="Times New Roman" w:eastAsia="SimSun" w:hAnsi="Times New Roman"/>
      <w:noProof/>
      <w:sz w:val="22"/>
      <w:lang w:val="en-GB"/>
    </w:rPr>
  </w:style>
  <w:style w:type="paragraph" w:customStyle="1" w:styleId="NL4">
    <w:name w:val="NL4"/>
    <w:basedOn w:val="Para0"/>
    <w:link w:val="NL4Char"/>
    <w:semiHidden/>
    <w:rsid w:val="00AE6C44"/>
    <w:pPr>
      <w:numPr>
        <w:numId w:val="17"/>
      </w:numPr>
      <w:tabs>
        <w:tab w:val="left" w:pos="340"/>
      </w:tabs>
      <w:spacing w:before="0"/>
      <w:ind w:left="2410" w:hanging="369"/>
      <w:contextualSpacing/>
    </w:pPr>
    <w:rPr>
      <w:noProof/>
    </w:rPr>
  </w:style>
  <w:style w:type="character" w:customStyle="1" w:styleId="NL3Char">
    <w:name w:val="NL3 Char"/>
    <w:basedOn w:val="ParaChar0"/>
    <w:link w:val="NL3"/>
    <w:semiHidden/>
    <w:rsid w:val="00DF08DF"/>
    <w:rPr>
      <w:rFonts w:ascii="Times New Roman" w:eastAsia="SimSun" w:hAnsi="Times New Roman"/>
      <w:noProof/>
      <w:sz w:val="22"/>
      <w:lang w:val="en-GB"/>
    </w:rPr>
  </w:style>
  <w:style w:type="character" w:customStyle="1" w:styleId="NL4Char">
    <w:name w:val="NL4 Char"/>
    <w:basedOn w:val="ParaChar0"/>
    <w:link w:val="NL4"/>
    <w:semiHidden/>
    <w:rsid w:val="00DF08DF"/>
    <w:rPr>
      <w:rFonts w:ascii="Times New Roman" w:eastAsia="SimSun" w:hAnsi="Times New Roman"/>
      <w:noProof/>
      <w:sz w:val="22"/>
      <w:lang w:val="en-GB"/>
    </w:rPr>
  </w:style>
  <w:style w:type="paragraph" w:customStyle="1" w:styleId="BL2">
    <w:name w:val="BL2"/>
    <w:basedOn w:val="Para0"/>
    <w:link w:val="BL2Char"/>
    <w:semiHidden/>
    <w:rsid w:val="00180584"/>
    <w:pPr>
      <w:numPr>
        <w:numId w:val="18"/>
      </w:numPr>
      <w:spacing w:before="0"/>
      <w:ind w:left="1701" w:hanging="340"/>
      <w:contextualSpacing/>
    </w:pPr>
  </w:style>
  <w:style w:type="paragraph" w:customStyle="1" w:styleId="BL3">
    <w:name w:val="BL3"/>
    <w:basedOn w:val="Para0"/>
    <w:link w:val="BL3Char"/>
    <w:semiHidden/>
    <w:rsid w:val="00403E01"/>
    <w:pPr>
      <w:numPr>
        <w:numId w:val="20"/>
      </w:numPr>
      <w:spacing w:before="0"/>
      <w:ind w:left="2058" w:hanging="357"/>
      <w:contextualSpacing/>
    </w:pPr>
    <w:rPr>
      <w:noProof/>
    </w:rPr>
  </w:style>
  <w:style w:type="character" w:customStyle="1" w:styleId="BL2Char">
    <w:name w:val="BL2 Char"/>
    <w:basedOn w:val="ParaChar0"/>
    <w:link w:val="BL2"/>
    <w:semiHidden/>
    <w:rsid w:val="00DF08DF"/>
    <w:rPr>
      <w:rFonts w:ascii="Times New Roman" w:eastAsia="SimSun" w:hAnsi="Times New Roman"/>
      <w:sz w:val="22"/>
      <w:lang w:val="en-GB"/>
    </w:rPr>
  </w:style>
  <w:style w:type="paragraph" w:customStyle="1" w:styleId="BL4">
    <w:name w:val="BL4"/>
    <w:basedOn w:val="Para0"/>
    <w:link w:val="BL4Char"/>
    <w:semiHidden/>
    <w:rsid w:val="00403E01"/>
    <w:pPr>
      <w:numPr>
        <w:ilvl w:val="1"/>
        <w:numId w:val="19"/>
      </w:numPr>
      <w:spacing w:before="0"/>
      <w:ind w:left="2381" w:hanging="340"/>
      <w:contextualSpacing/>
    </w:pPr>
  </w:style>
  <w:style w:type="character" w:customStyle="1" w:styleId="BL3Char">
    <w:name w:val="BL3 Char"/>
    <w:basedOn w:val="ParaChar0"/>
    <w:link w:val="BL3"/>
    <w:semiHidden/>
    <w:rsid w:val="00DF08DF"/>
    <w:rPr>
      <w:rFonts w:ascii="Times New Roman" w:eastAsia="SimSun" w:hAnsi="Times New Roman"/>
      <w:noProof/>
      <w:sz w:val="22"/>
      <w:lang w:val="en-GB"/>
    </w:rPr>
  </w:style>
  <w:style w:type="character" w:customStyle="1" w:styleId="BL4Char">
    <w:name w:val="BL4 Char"/>
    <w:basedOn w:val="ParaChar0"/>
    <w:link w:val="BL4"/>
    <w:semiHidden/>
    <w:rsid w:val="00DF08DF"/>
    <w:rPr>
      <w:rFonts w:ascii="Times New Roman" w:eastAsia="SimSun" w:hAnsi="Times New Roman"/>
      <w:sz w:val="22"/>
      <w:lang w:val="en-GB"/>
    </w:rPr>
  </w:style>
  <w:style w:type="paragraph" w:customStyle="1" w:styleId="Notes">
    <w:name w:val="Notes"/>
    <w:basedOn w:val="Normal"/>
    <w:rsid w:val="00630B9E"/>
    <w:pPr>
      <w:keepNext/>
      <w:keepLines/>
      <w:tabs>
        <w:tab w:val="clear" w:pos="850"/>
        <w:tab w:val="clear" w:pos="1191"/>
        <w:tab w:val="clear" w:pos="1531"/>
      </w:tabs>
      <w:spacing w:before="120"/>
      <w:ind w:left="680" w:right="680"/>
      <w:contextualSpacing/>
    </w:pPr>
    <w:rPr>
      <w:rFonts w:eastAsia="SimSun" w:cs="Arial"/>
      <w:sz w:val="18"/>
      <w:szCs w:val="18"/>
    </w:rPr>
  </w:style>
  <w:style w:type="paragraph" w:customStyle="1" w:styleId="Source">
    <w:name w:val="Source"/>
    <w:basedOn w:val="Normal"/>
    <w:rsid w:val="00630B9E"/>
    <w:pPr>
      <w:keepNext/>
      <w:keepLines/>
      <w:tabs>
        <w:tab w:val="clear" w:pos="850"/>
        <w:tab w:val="clear" w:pos="1191"/>
        <w:tab w:val="clear" w:pos="1531"/>
      </w:tabs>
      <w:spacing w:after="240"/>
      <w:ind w:left="680" w:right="680"/>
      <w:contextualSpacing/>
    </w:pPr>
    <w:rPr>
      <w:rFonts w:eastAsia="SimSun" w:cs="Arial"/>
      <w:sz w:val="18"/>
      <w:szCs w:val="18"/>
    </w:rPr>
  </w:style>
  <w:style w:type="paragraph" w:customStyle="1" w:styleId="15CEAF76EE11422DB380C0CFFC55BBA7">
    <w:name w:val="15CEAF76EE11422DB380C0CFFC55BBA7"/>
    <w:rsid w:val="00421C0B"/>
    <w:pPr>
      <w:spacing w:after="160" w:line="259" w:lineRule="auto"/>
    </w:pPr>
    <w:rPr>
      <w:rFonts w:asciiTheme="minorHAnsi" w:eastAsiaTheme="minorEastAsia" w:hAnsiTheme="minorHAnsi" w:cstheme="minorBidi"/>
      <w:sz w:val="22"/>
      <w:szCs w:val="22"/>
    </w:rPr>
  </w:style>
  <w:style w:type="paragraph" w:customStyle="1" w:styleId="FATF-TEXTEBEFORESUBHEAD">
    <w:name w:val="FATF-TEXTE BEFORE SUBHEAD"/>
    <w:basedOn w:val="Normal"/>
    <w:rsid w:val="006B7D87"/>
    <w:pPr>
      <w:tabs>
        <w:tab w:val="clear" w:pos="850"/>
        <w:tab w:val="clear" w:pos="1191"/>
        <w:tab w:val="clear" w:pos="1531"/>
        <w:tab w:val="left" w:pos="624"/>
        <w:tab w:val="left" w:pos="1247"/>
        <w:tab w:val="left" w:pos="1871"/>
        <w:tab w:val="left" w:pos="2495"/>
        <w:tab w:val="left" w:pos="3119"/>
      </w:tabs>
      <w:spacing w:after="360" w:line="300" w:lineRule="exact"/>
    </w:pPr>
    <w:rPr>
      <w:rFonts w:ascii="Cambria" w:hAnsi="Cambria"/>
      <w:szCs w:val="22"/>
      <w:lang w:eastAsia="zh-CN"/>
    </w:rPr>
  </w:style>
  <w:style w:type="paragraph" w:customStyle="1" w:styleId="FAFT-2-HEADrecommendationnote">
    <w:name w:val="FAFT- 2 - HEAD recommendation/note"/>
    <w:basedOn w:val="Normal"/>
    <w:rsid w:val="006B7D87"/>
    <w:pPr>
      <w:tabs>
        <w:tab w:val="clear" w:pos="850"/>
        <w:tab w:val="clear" w:pos="1191"/>
        <w:tab w:val="clear" w:pos="1531"/>
        <w:tab w:val="left" w:pos="624"/>
        <w:tab w:val="left" w:pos="1247"/>
        <w:tab w:val="left" w:pos="1871"/>
        <w:tab w:val="left" w:pos="2495"/>
        <w:tab w:val="left" w:pos="3119"/>
      </w:tabs>
      <w:spacing w:after="240" w:line="300" w:lineRule="exact"/>
      <w:jc w:val="left"/>
    </w:pPr>
    <w:rPr>
      <w:rFonts w:asciiTheme="majorHAnsi" w:eastAsia="Times New Roman" w:hAnsiTheme="majorHAnsi"/>
      <w:b/>
      <w:bCs/>
      <w:caps/>
      <w:color w:val="4F81BD" w:themeColor="accent1"/>
      <w:sz w:val="28"/>
      <w:szCs w:val="28"/>
      <w:lang w:eastAsia="zh-CN"/>
    </w:rPr>
  </w:style>
  <w:style w:type="character" w:customStyle="1" w:styleId="FATF-TEXTE1115Char">
    <w:name w:val="FATF-TEXTE 11/15 Char"/>
    <w:basedOn w:val="DefaultParagraphFont"/>
    <w:link w:val="FATF-TEXTE1115"/>
    <w:locked/>
    <w:rsid w:val="006B7D87"/>
    <w:rPr>
      <w:rFonts w:ascii="Cambria" w:eastAsia="Times New Roman" w:hAnsi="Cambria"/>
      <w:lang w:val="en-GB" w:eastAsia="zh-CN"/>
    </w:rPr>
  </w:style>
  <w:style w:type="paragraph" w:customStyle="1" w:styleId="FATF-TEXTE1115">
    <w:name w:val="FATF-TEXTE 11/15"/>
    <w:link w:val="FATF-TEXTE1115Char"/>
    <w:rsid w:val="006B7D87"/>
    <w:pPr>
      <w:tabs>
        <w:tab w:val="left" w:pos="624"/>
        <w:tab w:val="left" w:pos="1247"/>
        <w:tab w:val="left" w:pos="1871"/>
        <w:tab w:val="left" w:pos="2495"/>
        <w:tab w:val="left" w:pos="3119"/>
      </w:tabs>
      <w:spacing w:after="120" w:line="300" w:lineRule="exact"/>
      <w:jc w:val="both"/>
    </w:pPr>
    <w:rPr>
      <w:rFonts w:ascii="Cambria" w:eastAsia="Times New Roman" w:hAnsi="Cambria"/>
      <w:lang w:val="en-GB" w:eastAsia="zh-CN"/>
    </w:rPr>
  </w:style>
  <w:style w:type="paragraph" w:customStyle="1" w:styleId="FATF-3SUBTITLECAPS">
    <w:name w:val="FATF- 3 SUBTITLE CAPS"/>
    <w:basedOn w:val="FATF-TEXTE1115"/>
    <w:rsid w:val="006B7D87"/>
    <w:pPr>
      <w:jc w:val="left"/>
    </w:pPr>
    <w:rPr>
      <w:rFonts w:asciiTheme="majorHAnsi" w:hAnsiTheme="majorHAnsi"/>
      <w:b/>
      <w:bCs/>
      <w:caps/>
      <w:color w:val="4F81BD" w:themeColor="accent1"/>
      <w:sz w:val="24"/>
      <w:szCs w:val="24"/>
    </w:rPr>
  </w:style>
  <w:style w:type="paragraph" w:customStyle="1" w:styleId="FAFT-BULLETEDTEXT">
    <w:name w:val="FAFT- BULLETED TEXT"/>
    <w:basedOn w:val="Normal"/>
    <w:rsid w:val="001F49D4"/>
    <w:pPr>
      <w:numPr>
        <w:numId w:val="23"/>
      </w:numPr>
      <w:tabs>
        <w:tab w:val="clear" w:pos="850"/>
        <w:tab w:val="clear" w:pos="1191"/>
        <w:tab w:val="clear" w:pos="1531"/>
        <w:tab w:val="left" w:pos="1247"/>
        <w:tab w:val="left" w:pos="1871"/>
        <w:tab w:val="left" w:pos="2495"/>
        <w:tab w:val="left" w:pos="3119"/>
      </w:tabs>
      <w:spacing w:after="120" w:line="300" w:lineRule="exact"/>
      <w:jc w:val="left"/>
    </w:pPr>
    <w:rPr>
      <w:rFonts w:ascii="Cambria" w:eastAsia="Times New Roman" w:hAnsi="Cambria"/>
      <w:szCs w:val="22"/>
      <w:lang w:eastAsia="zh-CN"/>
    </w:rPr>
  </w:style>
  <w:style w:type="paragraph" w:customStyle="1" w:styleId="FATF-BULLETEDTEXTLASTBULLET">
    <w:name w:val="FATF-BULLETED TEXT LAST BULLET"/>
    <w:basedOn w:val="FAFT-BULLETEDTEXT"/>
    <w:rsid w:val="001F49D4"/>
    <w:pPr>
      <w:spacing w:after="360"/>
    </w:pPr>
    <w:rPr>
      <w:lang w:eastAsia="en-US"/>
    </w:rPr>
  </w:style>
  <w:style w:type="paragraph" w:customStyle="1" w:styleId="Default">
    <w:name w:val="Default"/>
    <w:rsid w:val="00052EE1"/>
    <w:pPr>
      <w:autoSpaceDE w:val="0"/>
      <w:autoSpaceDN w:val="0"/>
      <w:adjustRightInd w:val="0"/>
    </w:pPr>
    <w:rPr>
      <w:rFonts w:ascii="Times New Roman" w:hAnsi="Times New Roman"/>
      <w:color w:val="000000"/>
      <w:sz w:val="24"/>
      <w:szCs w:val="24"/>
    </w:rPr>
  </w:style>
  <w:style w:type="paragraph" w:customStyle="1" w:styleId="ParaNum">
    <w:name w:val="Para Num"/>
    <w:basedOn w:val="Normal"/>
    <w:link w:val="ParaNumChar"/>
    <w:rsid w:val="00A679A2"/>
    <w:pPr>
      <w:tabs>
        <w:tab w:val="clear" w:pos="850"/>
        <w:tab w:val="clear" w:pos="1191"/>
        <w:tab w:val="clear" w:pos="1531"/>
        <w:tab w:val="left" w:pos="851"/>
      </w:tabs>
      <w:spacing w:before="240" w:after="240"/>
    </w:pPr>
    <w:rPr>
      <w:rFonts w:eastAsia="Times New Roman"/>
      <w:szCs w:val="22"/>
      <w:lang w:eastAsia="en-GB"/>
    </w:rPr>
  </w:style>
  <w:style w:type="character" w:customStyle="1" w:styleId="ParaNumChar">
    <w:name w:val="Para Num Char"/>
    <w:link w:val="ParaNum"/>
    <w:rsid w:val="00A679A2"/>
    <w:rPr>
      <w:rFonts w:ascii="Times New Roman" w:eastAsia="Times New Roman" w:hAnsi="Times New Roman"/>
      <w:sz w:val="22"/>
      <w:szCs w:val="22"/>
      <w:lang w:val="en-GB" w:eastAsia="en-GB"/>
    </w:rPr>
  </w:style>
  <w:style w:type="paragraph" w:customStyle="1" w:styleId="Bullet">
    <w:name w:val="Bullet"/>
    <w:basedOn w:val="Normal"/>
    <w:link w:val="BulletChar"/>
    <w:rsid w:val="00A679A2"/>
    <w:pPr>
      <w:numPr>
        <w:numId w:val="24"/>
      </w:numPr>
      <w:tabs>
        <w:tab w:val="clear" w:pos="850"/>
        <w:tab w:val="clear" w:pos="1191"/>
        <w:tab w:val="clear" w:pos="1531"/>
      </w:tabs>
      <w:spacing w:after="240"/>
    </w:pPr>
    <w:rPr>
      <w:rFonts w:eastAsia="Times New Roman"/>
      <w:szCs w:val="22"/>
      <w:lang w:eastAsia="en-GB"/>
    </w:rPr>
  </w:style>
  <w:style w:type="character" w:customStyle="1" w:styleId="BulletChar">
    <w:name w:val="Bullet Char"/>
    <w:link w:val="Bullet"/>
    <w:rsid w:val="00A679A2"/>
    <w:rPr>
      <w:rFonts w:ascii="Times New Roman" w:eastAsia="Times New Roman" w:hAnsi="Times New Roman"/>
      <w:sz w:val="22"/>
      <w:szCs w:val="22"/>
      <w:lang w:val="en-GB" w:eastAsia="en-GB"/>
    </w:rPr>
  </w:style>
  <w:style w:type="character" w:customStyle="1" w:styleId="a">
    <w:name w:val="a"/>
    <w:basedOn w:val="DefaultParagraphFont"/>
    <w:rsid w:val="00CE3395"/>
  </w:style>
  <w:style w:type="paragraph" w:customStyle="1" w:styleId="Num-DocParagraph">
    <w:name w:val="Num-Doc Paragraph"/>
    <w:basedOn w:val="BodyText"/>
    <w:rsid w:val="00CD5ACC"/>
    <w:pPr>
      <w:tabs>
        <w:tab w:val="left" w:pos="850"/>
        <w:tab w:val="left" w:pos="1191"/>
        <w:tab w:val="left" w:pos="1531"/>
      </w:tabs>
      <w:spacing w:after="240"/>
      <w:ind w:firstLine="0"/>
    </w:pPr>
    <w:rPr>
      <w:rFonts w:eastAsia="Times New Roman"/>
      <w:szCs w:val="22"/>
      <w:lang w:eastAsia="zh-CN"/>
    </w:rPr>
  </w:style>
  <w:style w:type="paragraph" w:customStyle="1" w:styleId="FATF-4Subtitlenocapsitalic">
    <w:name w:val="FATF-4 Subtitle no caps italic"/>
    <w:rsid w:val="0098261F"/>
    <w:pPr>
      <w:keepNext/>
      <w:spacing w:after="120" w:line="300" w:lineRule="exact"/>
    </w:pPr>
    <w:rPr>
      <w:rFonts w:asciiTheme="majorHAnsi" w:eastAsia="Times New Roman" w:hAnsiTheme="majorHAnsi"/>
      <w:b/>
      <w:bCs/>
      <w:i/>
      <w:color w:val="4F81BD" w:themeColor="accent1"/>
      <w:sz w:val="24"/>
      <w:szCs w:val="24"/>
      <w:lang w:val="en-GB" w:eastAsia="zh-CN"/>
    </w:rPr>
  </w:style>
  <w:style w:type="paragraph" w:customStyle="1" w:styleId="BasicParagraph">
    <w:name w:val="[Basic Paragraph]"/>
    <w:basedOn w:val="Normal"/>
    <w:uiPriority w:val="99"/>
    <w:rsid w:val="00301D62"/>
    <w:pPr>
      <w:widowControl w:val="0"/>
      <w:tabs>
        <w:tab w:val="clear" w:pos="850"/>
        <w:tab w:val="clear" w:pos="1191"/>
        <w:tab w:val="clear" w:pos="1531"/>
      </w:tabs>
      <w:autoSpaceDE w:val="0"/>
      <w:autoSpaceDN w:val="0"/>
      <w:adjustRightInd w:val="0"/>
    </w:pPr>
    <w:rPr>
      <w:rFonts w:ascii="Arial" w:eastAsia="Cambria" w:hAnsi="Arial" w:cs="MinionPro-Regular"/>
      <w:color w:val="0B0039"/>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018186">
      <w:bodyDiv w:val="1"/>
      <w:marLeft w:val="0"/>
      <w:marRight w:val="0"/>
      <w:marTop w:val="0"/>
      <w:marBottom w:val="0"/>
      <w:divBdr>
        <w:top w:val="none" w:sz="0" w:space="0" w:color="auto"/>
        <w:left w:val="none" w:sz="0" w:space="0" w:color="auto"/>
        <w:bottom w:val="none" w:sz="0" w:space="0" w:color="auto"/>
        <w:right w:val="none" w:sz="0" w:space="0" w:color="auto"/>
      </w:divBdr>
    </w:div>
    <w:div w:id="156770857">
      <w:bodyDiv w:val="1"/>
      <w:marLeft w:val="0"/>
      <w:marRight w:val="0"/>
      <w:marTop w:val="0"/>
      <w:marBottom w:val="0"/>
      <w:divBdr>
        <w:top w:val="none" w:sz="0" w:space="0" w:color="auto"/>
        <w:left w:val="none" w:sz="0" w:space="0" w:color="auto"/>
        <w:bottom w:val="none" w:sz="0" w:space="0" w:color="auto"/>
        <w:right w:val="none" w:sz="0" w:space="0" w:color="auto"/>
      </w:divBdr>
    </w:div>
    <w:div w:id="180779107">
      <w:bodyDiv w:val="1"/>
      <w:marLeft w:val="0"/>
      <w:marRight w:val="0"/>
      <w:marTop w:val="0"/>
      <w:marBottom w:val="0"/>
      <w:divBdr>
        <w:top w:val="none" w:sz="0" w:space="0" w:color="auto"/>
        <w:left w:val="none" w:sz="0" w:space="0" w:color="auto"/>
        <w:bottom w:val="none" w:sz="0" w:space="0" w:color="auto"/>
        <w:right w:val="none" w:sz="0" w:space="0" w:color="auto"/>
      </w:divBdr>
    </w:div>
    <w:div w:id="209808287">
      <w:bodyDiv w:val="1"/>
      <w:marLeft w:val="0"/>
      <w:marRight w:val="0"/>
      <w:marTop w:val="0"/>
      <w:marBottom w:val="0"/>
      <w:divBdr>
        <w:top w:val="none" w:sz="0" w:space="0" w:color="auto"/>
        <w:left w:val="none" w:sz="0" w:space="0" w:color="auto"/>
        <w:bottom w:val="none" w:sz="0" w:space="0" w:color="auto"/>
        <w:right w:val="none" w:sz="0" w:space="0" w:color="auto"/>
      </w:divBdr>
    </w:div>
    <w:div w:id="217131918">
      <w:bodyDiv w:val="1"/>
      <w:marLeft w:val="0"/>
      <w:marRight w:val="0"/>
      <w:marTop w:val="0"/>
      <w:marBottom w:val="0"/>
      <w:divBdr>
        <w:top w:val="none" w:sz="0" w:space="0" w:color="auto"/>
        <w:left w:val="none" w:sz="0" w:space="0" w:color="auto"/>
        <w:bottom w:val="none" w:sz="0" w:space="0" w:color="auto"/>
        <w:right w:val="none" w:sz="0" w:space="0" w:color="auto"/>
      </w:divBdr>
    </w:div>
    <w:div w:id="237861888">
      <w:bodyDiv w:val="1"/>
      <w:marLeft w:val="0"/>
      <w:marRight w:val="0"/>
      <w:marTop w:val="0"/>
      <w:marBottom w:val="0"/>
      <w:divBdr>
        <w:top w:val="none" w:sz="0" w:space="0" w:color="auto"/>
        <w:left w:val="none" w:sz="0" w:space="0" w:color="auto"/>
        <w:bottom w:val="none" w:sz="0" w:space="0" w:color="auto"/>
        <w:right w:val="none" w:sz="0" w:space="0" w:color="auto"/>
      </w:divBdr>
    </w:div>
    <w:div w:id="337117441">
      <w:bodyDiv w:val="1"/>
      <w:marLeft w:val="0"/>
      <w:marRight w:val="0"/>
      <w:marTop w:val="0"/>
      <w:marBottom w:val="0"/>
      <w:divBdr>
        <w:top w:val="none" w:sz="0" w:space="0" w:color="auto"/>
        <w:left w:val="none" w:sz="0" w:space="0" w:color="auto"/>
        <w:bottom w:val="none" w:sz="0" w:space="0" w:color="auto"/>
        <w:right w:val="none" w:sz="0" w:space="0" w:color="auto"/>
      </w:divBdr>
    </w:div>
    <w:div w:id="386537695">
      <w:bodyDiv w:val="1"/>
      <w:marLeft w:val="0"/>
      <w:marRight w:val="0"/>
      <w:marTop w:val="0"/>
      <w:marBottom w:val="0"/>
      <w:divBdr>
        <w:top w:val="none" w:sz="0" w:space="0" w:color="auto"/>
        <w:left w:val="none" w:sz="0" w:space="0" w:color="auto"/>
        <w:bottom w:val="none" w:sz="0" w:space="0" w:color="auto"/>
        <w:right w:val="none" w:sz="0" w:space="0" w:color="auto"/>
      </w:divBdr>
    </w:div>
    <w:div w:id="407730285">
      <w:bodyDiv w:val="1"/>
      <w:marLeft w:val="0"/>
      <w:marRight w:val="0"/>
      <w:marTop w:val="0"/>
      <w:marBottom w:val="0"/>
      <w:divBdr>
        <w:top w:val="none" w:sz="0" w:space="0" w:color="auto"/>
        <w:left w:val="none" w:sz="0" w:space="0" w:color="auto"/>
        <w:bottom w:val="none" w:sz="0" w:space="0" w:color="auto"/>
        <w:right w:val="none" w:sz="0" w:space="0" w:color="auto"/>
      </w:divBdr>
    </w:div>
    <w:div w:id="444927639">
      <w:bodyDiv w:val="1"/>
      <w:marLeft w:val="0"/>
      <w:marRight w:val="0"/>
      <w:marTop w:val="0"/>
      <w:marBottom w:val="0"/>
      <w:divBdr>
        <w:top w:val="none" w:sz="0" w:space="0" w:color="auto"/>
        <w:left w:val="none" w:sz="0" w:space="0" w:color="auto"/>
        <w:bottom w:val="none" w:sz="0" w:space="0" w:color="auto"/>
        <w:right w:val="none" w:sz="0" w:space="0" w:color="auto"/>
      </w:divBdr>
    </w:div>
    <w:div w:id="488257308">
      <w:bodyDiv w:val="1"/>
      <w:marLeft w:val="0"/>
      <w:marRight w:val="0"/>
      <w:marTop w:val="0"/>
      <w:marBottom w:val="0"/>
      <w:divBdr>
        <w:top w:val="none" w:sz="0" w:space="0" w:color="auto"/>
        <w:left w:val="none" w:sz="0" w:space="0" w:color="auto"/>
        <w:bottom w:val="none" w:sz="0" w:space="0" w:color="auto"/>
        <w:right w:val="none" w:sz="0" w:space="0" w:color="auto"/>
      </w:divBdr>
    </w:div>
    <w:div w:id="540753817">
      <w:bodyDiv w:val="1"/>
      <w:marLeft w:val="0"/>
      <w:marRight w:val="0"/>
      <w:marTop w:val="0"/>
      <w:marBottom w:val="0"/>
      <w:divBdr>
        <w:top w:val="none" w:sz="0" w:space="0" w:color="auto"/>
        <w:left w:val="none" w:sz="0" w:space="0" w:color="auto"/>
        <w:bottom w:val="none" w:sz="0" w:space="0" w:color="auto"/>
        <w:right w:val="none" w:sz="0" w:space="0" w:color="auto"/>
      </w:divBdr>
    </w:div>
    <w:div w:id="579220669">
      <w:bodyDiv w:val="1"/>
      <w:marLeft w:val="0"/>
      <w:marRight w:val="0"/>
      <w:marTop w:val="0"/>
      <w:marBottom w:val="0"/>
      <w:divBdr>
        <w:top w:val="none" w:sz="0" w:space="0" w:color="auto"/>
        <w:left w:val="none" w:sz="0" w:space="0" w:color="auto"/>
        <w:bottom w:val="none" w:sz="0" w:space="0" w:color="auto"/>
        <w:right w:val="none" w:sz="0" w:space="0" w:color="auto"/>
      </w:divBdr>
    </w:div>
    <w:div w:id="602348125">
      <w:bodyDiv w:val="1"/>
      <w:marLeft w:val="0"/>
      <w:marRight w:val="0"/>
      <w:marTop w:val="0"/>
      <w:marBottom w:val="0"/>
      <w:divBdr>
        <w:top w:val="none" w:sz="0" w:space="0" w:color="auto"/>
        <w:left w:val="none" w:sz="0" w:space="0" w:color="auto"/>
        <w:bottom w:val="none" w:sz="0" w:space="0" w:color="auto"/>
        <w:right w:val="none" w:sz="0" w:space="0" w:color="auto"/>
      </w:divBdr>
      <w:divsChild>
        <w:div w:id="1567763874">
          <w:marLeft w:val="0"/>
          <w:marRight w:val="0"/>
          <w:marTop w:val="0"/>
          <w:marBottom w:val="0"/>
          <w:divBdr>
            <w:top w:val="none" w:sz="0" w:space="0" w:color="auto"/>
            <w:left w:val="none" w:sz="0" w:space="0" w:color="auto"/>
            <w:bottom w:val="none" w:sz="0" w:space="0" w:color="auto"/>
            <w:right w:val="none" w:sz="0" w:space="0" w:color="auto"/>
          </w:divBdr>
          <w:divsChild>
            <w:div w:id="208937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912726">
      <w:bodyDiv w:val="1"/>
      <w:marLeft w:val="0"/>
      <w:marRight w:val="0"/>
      <w:marTop w:val="0"/>
      <w:marBottom w:val="0"/>
      <w:divBdr>
        <w:top w:val="none" w:sz="0" w:space="0" w:color="auto"/>
        <w:left w:val="none" w:sz="0" w:space="0" w:color="auto"/>
        <w:bottom w:val="none" w:sz="0" w:space="0" w:color="auto"/>
        <w:right w:val="none" w:sz="0" w:space="0" w:color="auto"/>
      </w:divBdr>
    </w:div>
    <w:div w:id="683017353">
      <w:bodyDiv w:val="1"/>
      <w:marLeft w:val="0"/>
      <w:marRight w:val="0"/>
      <w:marTop w:val="0"/>
      <w:marBottom w:val="0"/>
      <w:divBdr>
        <w:top w:val="none" w:sz="0" w:space="0" w:color="auto"/>
        <w:left w:val="none" w:sz="0" w:space="0" w:color="auto"/>
        <w:bottom w:val="none" w:sz="0" w:space="0" w:color="auto"/>
        <w:right w:val="none" w:sz="0" w:space="0" w:color="auto"/>
      </w:divBdr>
    </w:div>
    <w:div w:id="689910205">
      <w:bodyDiv w:val="1"/>
      <w:marLeft w:val="0"/>
      <w:marRight w:val="0"/>
      <w:marTop w:val="0"/>
      <w:marBottom w:val="0"/>
      <w:divBdr>
        <w:top w:val="none" w:sz="0" w:space="0" w:color="auto"/>
        <w:left w:val="none" w:sz="0" w:space="0" w:color="auto"/>
        <w:bottom w:val="none" w:sz="0" w:space="0" w:color="auto"/>
        <w:right w:val="none" w:sz="0" w:space="0" w:color="auto"/>
      </w:divBdr>
    </w:div>
    <w:div w:id="725766372">
      <w:bodyDiv w:val="1"/>
      <w:marLeft w:val="0"/>
      <w:marRight w:val="0"/>
      <w:marTop w:val="0"/>
      <w:marBottom w:val="0"/>
      <w:divBdr>
        <w:top w:val="none" w:sz="0" w:space="0" w:color="auto"/>
        <w:left w:val="none" w:sz="0" w:space="0" w:color="auto"/>
        <w:bottom w:val="none" w:sz="0" w:space="0" w:color="auto"/>
        <w:right w:val="none" w:sz="0" w:space="0" w:color="auto"/>
      </w:divBdr>
    </w:div>
    <w:div w:id="765270447">
      <w:bodyDiv w:val="1"/>
      <w:marLeft w:val="0"/>
      <w:marRight w:val="0"/>
      <w:marTop w:val="0"/>
      <w:marBottom w:val="0"/>
      <w:divBdr>
        <w:top w:val="none" w:sz="0" w:space="0" w:color="auto"/>
        <w:left w:val="none" w:sz="0" w:space="0" w:color="auto"/>
        <w:bottom w:val="none" w:sz="0" w:space="0" w:color="auto"/>
        <w:right w:val="none" w:sz="0" w:space="0" w:color="auto"/>
      </w:divBdr>
    </w:div>
    <w:div w:id="772670089">
      <w:bodyDiv w:val="1"/>
      <w:marLeft w:val="0"/>
      <w:marRight w:val="0"/>
      <w:marTop w:val="0"/>
      <w:marBottom w:val="0"/>
      <w:divBdr>
        <w:top w:val="none" w:sz="0" w:space="0" w:color="auto"/>
        <w:left w:val="none" w:sz="0" w:space="0" w:color="auto"/>
        <w:bottom w:val="none" w:sz="0" w:space="0" w:color="auto"/>
        <w:right w:val="none" w:sz="0" w:space="0" w:color="auto"/>
      </w:divBdr>
    </w:div>
    <w:div w:id="780224203">
      <w:bodyDiv w:val="1"/>
      <w:marLeft w:val="0"/>
      <w:marRight w:val="0"/>
      <w:marTop w:val="0"/>
      <w:marBottom w:val="0"/>
      <w:divBdr>
        <w:top w:val="none" w:sz="0" w:space="0" w:color="auto"/>
        <w:left w:val="none" w:sz="0" w:space="0" w:color="auto"/>
        <w:bottom w:val="none" w:sz="0" w:space="0" w:color="auto"/>
        <w:right w:val="none" w:sz="0" w:space="0" w:color="auto"/>
      </w:divBdr>
    </w:div>
    <w:div w:id="819544732">
      <w:bodyDiv w:val="1"/>
      <w:marLeft w:val="0"/>
      <w:marRight w:val="0"/>
      <w:marTop w:val="0"/>
      <w:marBottom w:val="0"/>
      <w:divBdr>
        <w:top w:val="none" w:sz="0" w:space="0" w:color="auto"/>
        <w:left w:val="none" w:sz="0" w:space="0" w:color="auto"/>
        <w:bottom w:val="none" w:sz="0" w:space="0" w:color="auto"/>
        <w:right w:val="none" w:sz="0" w:space="0" w:color="auto"/>
      </w:divBdr>
    </w:div>
    <w:div w:id="963272243">
      <w:bodyDiv w:val="1"/>
      <w:marLeft w:val="0"/>
      <w:marRight w:val="0"/>
      <w:marTop w:val="0"/>
      <w:marBottom w:val="0"/>
      <w:divBdr>
        <w:top w:val="none" w:sz="0" w:space="0" w:color="auto"/>
        <w:left w:val="none" w:sz="0" w:space="0" w:color="auto"/>
        <w:bottom w:val="none" w:sz="0" w:space="0" w:color="auto"/>
        <w:right w:val="none" w:sz="0" w:space="0" w:color="auto"/>
      </w:divBdr>
    </w:div>
    <w:div w:id="977344441">
      <w:bodyDiv w:val="1"/>
      <w:marLeft w:val="0"/>
      <w:marRight w:val="0"/>
      <w:marTop w:val="0"/>
      <w:marBottom w:val="0"/>
      <w:divBdr>
        <w:top w:val="none" w:sz="0" w:space="0" w:color="auto"/>
        <w:left w:val="none" w:sz="0" w:space="0" w:color="auto"/>
        <w:bottom w:val="none" w:sz="0" w:space="0" w:color="auto"/>
        <w:right w:val="none" w:sz="0" w:space="0" w:color="auto"/>
      </w:divBdr>
    </w:div>
    <w:div w:id="1019740931">
      <w:bodyDiv w:val="1"/>
      <w:marLeft w:val="0"/>
      <w:marRight w:val="0"/>
      <w:marTop w:val="0"/>
      <w:marBottom w:val="0"/>
      <w:divBdr>
        <w:top w:val="none" w:sz="0" w:space="0" w:color="auto"/>
        <w:left w:val="none" w:sz="0" w:space="0" w:color="auto"/>
        <w:bottom w:val="none" w:sz="0" w:space="0" w:color="auto"/>
        <w:right w:val="none" w:sz="0" w:space="0" w:color="auto"/>
      </w:divBdr>
    </w:div>
    <w:div w:id="1075006889">
      <w:bodyDiv w:val="1"/>
      <w:marLeft w:val="0"/>
      <w:marRight w:val="0"/>
      <w:marTop w:val="0"/>
      <w:marBottom w:val="0"/>
      <w:divBdr>
        <w:top w:val="none" w:sz="0" w:space="0" w:color="auto"/>
        <w:left w:val="none" w:sz="0" w:space="0" w:color="auto"/>
        <w:bottom w:val="none" w:sz="0" w:space="0" w:color="auto"/>
        <w:right w:val="none" w:sz="0" w:space="0" w:color="auto"/>
      </w:divBdr>
    </w:div>
    <w:div w:id="1149322421">
      <w:bodyDiv w:val="1"/>
      <w:marLeft w:val="0"/>
      <w:marRight w:val="0"/>
      <w:marTop w:val="0"/>
      <w:marBottom w:val="0"/>
      <w:divBdr>
        <w:top w:val="none" w:sz="0" w:space="0" w:color="auto"/>
        <w:left w:val="none" w:sz="0" w:space="0" w:color="auto"/>
        <w:bottom w:val="none" w:sz="0" w:space="0" w:color="auto"/>
        <w:right w:val="none" w:sz="0" w:space="0" w:color="auto"/>
      </w:divBdr>
    </w:div>
    <w:div w:id="1251694473">
      <w:bodyDiv w:val="1"/>
      <w:marLeft w:val="0"/>
      <w:marRight w:val="0"/>
      <w:marTop w:val="0"/>
      <w:marBottom w:val="0"/>
      <w:divBdr>
        <w:top w:val="none" w:sz="0" w:space="0" w:color="auto"/>
        <w:left w:val="none" w:sz="0" w:space="0" w:color="auto"/>
        <w:bottom w:val="none" w:sz="0" w:space="0" w:color="auto"/>
        <w:right w:val="none" w:sz="0" w:space="0" w:color="auto"/>
      </w:divBdr>
    </w:div>
    <w:div w:id="1271279148">
      <w:bodyDiv w:val="1"/>
      <w:marLeft w:val="0"/>
      <w:marRight w:val="0"/>
      <w:marTop w:val="0"/>
      <w:marBottom w:val="0"/>
      <w:divBdr>
        <w:top w:val="none" w:sz="0" w:space="0" w:color="auto"/>
        <w:left w:val="none" w:sz="0" w:space="0" w:color="auto"/>
        <w:bottom w:val="none" w:sz="0" w:space="0" w:color="auto"/>
        <w:right w:val="none" w:sz="0" w:space="0" w:color="auto"/>
      </w:divBdr>
    </w:div>
    <w:div w:id="1273365427">
      <w:bodyDiv w:val="1"/>
      <w:marLeft w:val="0"/>
      <w:marRight w:val="0"/>
      <w:marTop w:val="0"/>
      <w:marBottom w:val="0"/>
      <w:divBdr>
        <w:top w:val="none" w:sz="0" w:space="0" w:color="auto"/>
        <w:left w:val="none" w:sz="0" w:space="0" w:color="auto"/>
        <w:bottom w:val="none" w:sz="0" w:space="0" w:color="auto"/>
        <w:right w:val="none" w:sz="0" w:space="0" w:color="auto"/>
      </w:divBdr>
    </w:div>
    <w:div w:id="1368291763">
      <w:bodyDiv w:val="1"/>
      <w:marLeft w:val="0"/>
      <w:marRight w:val="0"/>
      <w:marTop w:val="0"/>
      <w:marBottom w:val="0"/>
      <w:divBdr>
        <w:top w:val="none" w:sz="0" w:space="0" w:color="auto"/>
        <w:left w:val="none" w:sz="0" w:space="0" w:color="auto"/>
        <w:bottom w:val="none" w:sz="0" w:space="0" w:color="auto"/>
        <w:right w:val="none" w:sz="0" w:space="0" w:color="auto"/>
      </w:divBdr>
    </w:div>
    <w:div w:id="1407536555">
      <w:bodyDiv w:val="1"/>
      <w:marLeft w:val="0"/>
      <w:marRight w:val="0"/>
      <w:marTop w:val="0"/>
      <w:marBottom w:val="0"/>
      <w:divBdr>
        <w:top w:val="none" w:sz="0" w:space="0" w:color="auto"/>
        <w:left w:val="none" w:sz="0" w:space="0" w:color="auto"/>
        <w:bottom w:val="none" w:sz="0" w:space="0" w:color="auto"/>
        <w:right w:val="none" w:sz="0" w:space="0" w:color="auto"/>
      </w:divBdr>
    </w:div>
    <w:div w:id="1466389074">
      <w:bodyDiv w:val="1"/>
      <w:marLeft w:val="0"/>
      <w:marRight w:val="0"/>
      <w:marTop w:val="0"/>
      <w:marBottom w:val="0"/>
      <w:divBdr>
        <w:top w:val="none" w:sz="0" w:space="0" w:color="auto"/>
        <w:left w:val="none" w:sz="0" w:space="0" w:color="auto"/>
        <w:bottom w:val="none" w:sz="0" w:space="0" w:color="auto"/>
        <w:right w:val="none" w:sz="0" w:space="0" w:color="auto"/>
      </w:divBdr>
    </w:div>
    <w:div w:id="1529297271">
      <w:bodyDiv w:val="1"/>
      <w:marLeft w:val="0"/>
      <w:marRight w:val="0"/>
      <w:marTop w:val="0"/>
      <w:marBottom w:val="0"/>
      <w:divBdr>
        <w:top w:val="none" w:sz="0" w:space="0" w:color="auto"/>
        <w:left w:val="none" w:sz="0" w:space="0" w:color="auto"/>
        <w:bottom w:val="none" w:sz="0" w:space="0" w:color="auto"/>
        <w:right w:val="none" w:sz="0" w:space="0" w:color="auto"/>
      </w:divBdr>
    </w:div>
    <w:div w:id="1598951175">
      <w:bodyDiv w:val="1"/>
      <w:marLeft w:val="0"/>
      <w:marRight w:val="0"/>
      <w:marTop w:val="0"/>
      <w:marBottom w:val="0"/>
      <w:divBdr>
        <w:top w:val="none" w:sz="0" w:space="0" w:color="auto"/>
        <w:left w:val="none" w:sz="0" w:space="0" w:color="auto"/>
        <w:bottom w:val="none" w:sz="0" w:space="0" w:color="auto"/>
        <w:right w:val="none" w:sz="0" w:space="0" w:color="auto"/>
      </w:divBdr>
    </w:div>
    <w:div w:id="1666320784">
      <w:bodyDiv w:val="1"/>
      <w:marLeft w:val="0"/>
      <w:marRight w:val="0"/>
      <w:marTop w:val="0"/>
      <w:marBottom w:val="0"/>
      <w:divBdr>
        <w:top w:val="none" w:sz="0" w:space="0" w:color="auto"/>
        <w:left w:val="none" w:sz="0" w:space="0" w:color="auto"/>
        <w:bottom w:val="none" w:sz="0" w:space="0" w:color="auto"/>
        <w:right w:val="none" w:sz="0" w:space="0" w:color="auto"/>
      </w:divBdr>
    </w:div>
    <w:div w:id="1679968488">
      <w:bodyDiv w:val="1"/>
      <w:marLeft w:val="0"/>
      <w:marRight w:val="0"/>
      <w:marTop w:val="0"/>
      <w:marBottom w:val="0"/>
      <w:divBdr>
        <w:top w:val="none" w:sz="0" w:space="0" w:color="auto"/>
        <w:left w:val="none" w:sz="0" w:space="0" w:color="auto"/>
        <w:bottom w:val="none" w:sz="0" w:space="0" w:color="auto"/>
        <w:right w:val="none" w:sz="0" w:space="0" w:color="auto"/>
      </w:divBdr>
    </w:div>
    <w:div w:id="1723364289">
      <w:bodyDiv w:val="1"/>
      <w:marLeft w:val="0"/>
      <w:marRight w:val="0"/>
      <w:marTop w:val="0"/>
      <w:marBottom w:val="0"/>
      <w:divBdr>
        <w:top w:val="none" w:sz="0" w:space="0" w:color="auto"/>
        <w:left w:val="none" w:sz="0" w:space="0" w:color="auto"/>
        <w:bottom w:val="none" w:sz="0" w:space="0" w:color="auto"/>
        <w:right w:val="none" w:sz="0" w:space="0" w:color="auto"/>
      </w:divBdr>
    </w:div>
    <w:div w:id="1742361410">
      <w:bodyDiv w:val="1"/>
      <w:marLeft w:val="0"/>
      <w:marRight w:val="0"/>
      <w:marTop w:val="0"/>
      <w:marBottom w:val="0"/>
      <w:divBdr>
        <w:top w:val="none" w:sz="0" w:space="0" w:color="auto"/>
        <w:left w:val="none" w:sz="0" w:space="0" w:color="auto"/>
        <w:bottom w:val="none" w:sz="0" w:space="0" w:color="auto"/>
        <w:right w:val="none" w:sz="0" w:space="0" w:color="auto"/>
      </w:divBdr>
    </w:div>
    <w:div w:id="1825050992">
      <w:bodyDiv w:val="1"/>
      <w:marLeft w:val="0"/>
      <w:marRight w:val="0"/>
      <w:marTop w:val="0"/>
      <w:marBottom w:val="0"/>
      <w:divBdr>
        <w:top w:val="none" w:sz="0" w:space="0" w:color="auto"/>
        <w:left w:val="none" w:sz="0" w:space="0" w:color="auto"/>
        <w:bottom w:val="none" w:sz="0" w:space="0" w:color="auto"/>
        <w:right w:val="none" w:sz="0" w:space="0" w:color="auto"/>
      </w:divBdr>
    </w:div>
    <w:div w:id="2053531175">
      <w:bodyDiv w:val="1"/>
      <w:marLeft w:val="0"/>
      <w:marRight w:val="0"/>
      <w:marTop w:val="0"/>
      <w:marBottom w:val="0"/>
      <w:divBdr>
        <w:top w:val="none" w:sz="0" w:space="0" w:color="auto"/>
        <w:left w:val="none" w:sz="0" w:space="0" w:color="auto"/>
        <w:bottom w:val="none" w:sz="0" w:space="0" w:color="auto"/>
        <w:right w:val="none" w:sz="0" w:space="0" w:color="auto"/>
      </w:divBdr>
    </w:div>
    <w:div w:id="2129742306">
      <w:bodyDiv w:val="1"/>
      <w:marLeft w:val="0"/>
      <w:marRight w:val="0"/>
      <w:marTop w:val="0"/>
      <w:marBottom w:val="0"/>
      <w:divBdr>
        <w:top w:val="none" w:sz="0" w:space="0" w:color="auto"/>
        <w:left w:val="none" w:sz="0" w:space="0" w:color="auto"/>
        <w:bottom w:val="none" w:sz="0" w:space="0" w:color="auto"/>
        <w:right w:val="none" w:sz="0" w:space="0" w:color="auto"/>
      </w:divBdr>
    </w:div>
    <w:div w:id="213813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settings" Target="settings.xml"/><Relationship Id="rId18" Type="http://schemas.openxmlformats.org/officeDocument/2006/relationships/hyperlink" Target="file://FS-CH-1.main.oecd.org/Users2/Kumar_A/FATF/PDG/RBA%20for%20professions/Review%20by%20Co-chairs/Legal%20Group/www.fatf-gafi.org"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styles" Target="styles.xm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endnotes" Target="endnotes.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numbering" Target="numbering.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notes" Target="footnotes.xml"/><Relationship Id="rId23"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webSettings" Target="webSettings.xml"/><Relationship Id="rId22"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www.fatf-gafi.org/topics/fatfrecommendations/documents/internationalstandardsoncombatingmoneylaunderingandthefinancingofterrorismproliferation-thefatfrecommendations.html" TargetMode="External"/><Relationship Id="rId1" Type="http://schemas.openxmlformats.org/officeDocument/2006/relationships/hyperlink" Target="http://www.fatf-gafi.org/media/fatf/documents/recommendations/pdfs/FATF_Recommendations.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W:\Office2010\Workgroup%20Templates\ONE%20Autho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item1.xml><?xml version="1.0" encoding="utf-8"?>
<?mso-contentType ?>
<FormTemplates xmlns="http://schemas.microsoft.com/sharepoint/v3/contenttype/forms">
  <Display>OECDListFormCollapsible</Display>
  <Edit>OECDListFormCollapsible</Edit>
  <New>OECDListFormCollapsible</New>
</FormTemplates>
</file>

<file path=customXml/item2.xml><?xml version="1.0" encoding="utf-8"?>
<p:properties xmlns:p="http://schemas.microsoft.com/office/2006/metadata/properties" xmlns:xsi="http://www.w3.org/2001/XMLSchema-instance">
  <documentManagement>
    <OECDExpirationDate xmlns="c94570b9-8831-43f2-b70c-0cad48a8c3b0" xsi:nil="true"/>
    <OECDProjectMembers xmlns="66f79233-c467-41b3-a389-c101ba401ba7">
      <UserInfo>
        <DisplayName>KUMAR Ashish, DAF/FATF</DisplayName>
        <AccountId>251</AccountId>
        <AccountType/>
      </UserInfo>
      <UserInfo>
        <DisplayName>LAU Natalie, DAF/FATF</DisplayName>
        <AccountId>386</AccountId>
        <AccountType/>
      </UserInfo>
      <UserInfo>
        <DisplayName>TETERUKOV Sergey, DAF/FATF</DisplayName>
        <AccountId>253</AccountId>
        <AccountType/>
      </UserInfo>
      <UserInfo>
        <DisplayName>LEFEVRE Anne-Francoise, DAF/FATF</DisplayName>
        <AccountId>256</AccountId>
        <AccountType/>
      </UserInfo>
    </OECDProjectMembers>
    <OECDSharingStatus xmlns="66f79233-c467-41b3-a389-c101ba401ba7" xsi:nil="true"/>
    <eSharePWBTaxHTField0 xmlns="c94570b9-8831-43f2-b70c-0cad48a8c3b0" xsi:nil="true"/>
    <OECDCountry_0 xmlns="ca82dde9-3436-4d3d-bddd-d31447390034">
      <Terms xmlns="http://schemas.microsoft.com/office/infopath/2007/PartnerControls"/>
    </OECDCountry_0>
    <OECDCommunityDocumentID xmlns="66f79233-c467-41b3-a389-c101ba401ba7" xsi:nil="true"/>
    <OECDMeetingDate xmlns="c94570b9-8831-43f2-b70c-0cad48a8c3b0" xsi:nil="true"/>
    <OECDKeywords_0 xmlns="ca82dde9-3436-4d3d-bddd-d31447390034">
      <Terms xmlns="http://schemas.microsoft.com/office/infopath/2007/PartnerControls">
        <TermInfo xmlns="http://schemas.microsoft.com/office/infopath/2007/PartnerControls">
          <TermName xmlns="http://schemas.microsoft.com/office/infopath/2007/PartnerControls">RBA</TermName>
          <TermId xmlns="http://schemas.microsoft.com/office/infopath/2007/PartnerControls">a3cfcf26-ed2f-4c8e-b520-89edd31bff7f</TermId>
        </TermInfo>
      </Terms>
    </OECDKeywords_0>
    <OECDKimStatus xmlns="c94570b9-8831-43f2-b70c-0cad48a8c3b0">Draft</OECDKimStatus>
    <OECDDeliverableManager xmlns="66f79233-c467-41b3-a389-c101ba401ba7">
      <UserInfo>
        <DisplayName/>
        <AccountId xsi:nil="true"/>
        <AccountType/>
      </UserInfo>
    </OECDDeliverableManager>
    <OECDTagsCache xmlns="66f79233-c467-41b3-a389-c101ba401ba7" xsi:nil="true"/>
    <OECDlanguage xmlns="ca82dde9-3436-4d3d-bddd-d31447390034">English</OECDlanguage>
    <OECDProjectManager xmlns="66f79233-c467-41b3-a389-c101ba401ba7">
      <UserInfo>
        <DisplayName/>
        <AccountId>246</AccountId>
        <AccountType/>
      </UserInfo>
    </OECDProjectManager>
    <OECDYear xmlns="c94570b9-8831-43f2-b70c-0cad48a8c3b0" xsi:nil="true"/>
    <OECDCommittee_0 xmlns="ca82dde9-3436-4d3d-bddd-d31447390034">
      <Terms xmlns="http://schemas.microsoft.com/office/infopath/2007/PartnerControls"/>
    </OECDCommittee_0>
    <OECDMainProject xmlns="66f79233-c467-41b3-a389-c101ba401ba7">26</OECDMainProject>
    <eShareHorizProjTaxHTField0 xmlns="c94570b9-8831-43f2-b70c-0cad48a8c3b0">
      <Terms xmlns="http://schemas.microsoft.com/office/infopath/2007/PartnerControls"/>
    </eShareHorizProjTaxHTField0>
    <OECDCommunityDocumentURL xmlns="66f79233-c467-41b3-a389-c101ba401ba7" xsi:nil="true"/>
    <OECDKimBussinessContext xmlns="c94570b9-8831-43f2-b70c-0cad48a8c3b0" xsi:nil="true"/>
    <OECDKimProvenance xmlns="c94570b9-8831-43f2-b70c-0cad48a8c3b0" xsi:nil="true"/>
    <eShareProjectStructureTaxHTField0 xmlns="c94570b9-8831-43f2-b70c-0cad48a8c3b0">
      <Terms xmlns="http://schemas.microsoft.com/office/infopath/2007/PartnerControls">
        <TermInfo xmlns="http://schemas.microsoft.com/office/infopath/2007/PartnerControls">
          <TermName xmlns="http://schemas.microsoft.com/office/infopath/2007/PartnerControls">DAF/FATF</TermName>
          <TermId xmlns="http://schemas.microsoft.com/office/infopath/2007/PartnerControls">2c63851d-6781-4cb0-9303-b931e9475314</TermId>
        </TermInfo>
      </Terms>
    </eShareProjectStructureTaxHTField0>
    <eShareTopicTaxHTField0 xmlns="c94570b9-8831-43f2-b70c-0cad48a8c3b0" xsi:nil="true"/>
    <OECDProjectLookup xmlns="66f79233-c467-41b3-a389-c101ba401ba7">67</OECDProjectLookup>
    <hfa66f2e5af148f08064c2e62791b306 xmlns="c94570b9-8831-43f2-b70c-0cad48a8c3b0" xsi:nil="true"/>
    <eShareCommitteeTaxHTField0 xmlns="c94570b9-8831-43f2-b70c-0cad48a8c3b0" xsi:nil="true"/>
    <OECDTopic_0 xmlns="ca82dde9-3436-4d3d-bddd-d31447390034">
      <Terms xmlns="http://schemas.microsoft.com/office/infopath/2007/PartnerControls"/>
    </OECDTopic_0>
    <g48437ce2c3c4c508e6dbb232c223ecb xmlns="66f79233-c467-41b3-a389-c101ba401ba7" xsi:nil="true"/>
    <TaxCatchAllLabel xmlns="ca82dde9-3436-4d3d-bddd-d31447390034"/>
    <TaxCatchAll xmlns="ca82dde9-3436-4d3d-bddd-d31447390034">
      <Value>445</Value>
      <Value>123</Value>
    </TaxCatchAll>
    <OECDPinnedBy xmlns="66f79233-c467-41b3-a389-c101ba401ba7">
      <UserInfo>
        <DisplayName/>
        <AccountId xsi:nil="true"/>
        <AccountType/>
      </UserInfo>
    </OECDPinnedBy>
    <OECDPWB_0 xmlns="ca82dde9-3436-4d3d-bddd-d31447390034">
      <Terms xmlns="http://schemas.microsoft.com/office/infopath/2007/PartnerControls"/>
    </OECDPWB_0>
  </documentManagement>
</p:properties>
</file>

<file path=customXml/item3.xml><?xml version="1.0" encoding="utf-8"?>
<?mso-contentType ?>
<SharedContentType xmlns="Microsoft.SharePoint.Taxonomy.ContentTypeSync" SourceId="27ec883c-a62c-444f-a935-fcddb579e39d" ContentTypeId="0x0101008B4DD370EC31429186F3AD49F0D3098F00D44DBCB9EB4F45278CB5C9765BE52995" PreviousValue="false"/>
</file>

<file path=customXml/item4.xml><?xml version="1.0" encoding="utf-8"?>
<Logos xmlns="http://www.oecd.org/one.check/2016/logo" Version="0.0.0.1">
  <Logo>
    <Name>BlankLogo.png</Name>
    <Base64Image>iVBORw0KGgoAAAANSUhEUgAAAG8AAAA8CAYAAABo3+Q5AAAAAXNSR0IArs4c6QAAAARnQU1BAACxjwv8YQUAAACqSURBVHhe7cgxDQAADMOw8SfdEQiBSDn8+LZFCjMOmHHAjANmHDDjgBkHzDhgxgEzDphxwIwDZhww44AZB8w4YMYBMw6YccCMA2YcMOOAGQfMOGDGATMOmHHAjANmHDDjgBkHzDhgxgEzDphxwIwDZhww44AZB8w4YMYBMw6YccCMA2YcMOOAGQfMOGDGATMOmHHAjANmHDDjgBkHzDhgxgEzDphxwIzB7gGlisJ45YqDdgAAAABJRU5ErkJggg==</Base64Image>
  </Logo>
  <Logo>
    <Name>FATF-EN.png</Name>
    <Base64Image>iVBORw0KGgoAAAANSUhEUgAAAEAAAABwCAYAAACuE3Zz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</Base64Image>
  </Logo>
  <Logo>
    <Name>FATF-FR.png</Name>
    <Base64Image>iVBORw0KGgoAAAANSUhEUgAAAEAAAABwCAYAAACuE3Zz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</Base64Image>
  </Logo>
  <Logo>
    <Name>IEA.png</Name>
    <Base64Image>iVBORw0KGgoAAAANSUhEUgAAAEMAAABDCAYAAADHyrhz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</Base64Image>
  </Logo>
  <Logo>
    <Name>ITF.png</Name>
    <Base64Image>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</Base64Image>
  </Logo>
  <Logo>
    <Name>ITF_OECD.png</Name>
    <Base64Image>iVBORw0KGgoAAAANSUhEUgAAAIMAAAA0CAYAAACpUour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</Base64Image>
  </Logo>
  <Logo>
    <Name>OECD-EN.png</Name>
    <Base64Image>iVBORw0KGgoAAAANSUhEUgAAAKwAAAA1CAYAAADcWABT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</Base64Image>
  </Logo>
  <Logo>
    <Name>OECD-FR.png</Name>
    <Base64Image>iVBORw0KGgoAAAANSUhEUgAAAKwAAABACAYAAACHt5wh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</Base64Image>
  </Logo>
  <Logo>
    <Name>SAHEL.png</Name>
    <Base64Image>iVBORw0KGgoAAAANSUhEUgAAAJQAAAA0CAYAAABsIBE6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</Base64Image>
  </Logo>
  <Logo>
    <Name>Sigma.png</Name>
    <Base64Image>iVBORw0KGgoAAAANSUhEUgAAAEMAAABDCAYAAADHyrhz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</Base64Image>
  </Logo>
  <Logo>
    <Name>SIO.png</Name>
    <Base64Image>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</Base64Image>
  </Logo>
</Logos>
</file>

<file path=customXml/item5.xml><?xml version="1.0" encoding="utf-8"?>
<referenced-cote-metadata xmlns:xsi="http://www.w3.org/2001/XMLSchema-instance" xmlns:xsd="http://www.w3.org/2001/XMLSchema" Version="2.1.1.0">
  <cote decisionType="InOlis">FATF/PDG(2018)4</cote>
  <allcotes>
    <coteref>FATF/PDG(2018)4</coteref>
  </allcotes>
</referenced-cote-metadata>
</file>

<file path=customXml/item6.xml><?xml version="1.0" encoding="utf-8"?>
<HelpItems xmlns="http://www.oecd.org/one.check/2016/help" Version="1.80.1.0">
  <HelpItem>
    <Id>introVideo</Id>
    <Title>About O.N.E Author </Title>
    <Text/>
    <VideoLink>https://www.youtube.com/embed/J_gS03VB6UA</VideoLink>
    <MoreLink/>
    <MoreText/>
  </HelpItem>
  <HelpItem>
    <Id>ONEAuthorHelp</Id>
    <Title>O.N.E Author Help</Title>
    <Text/>
    <VideoLink/>
    <MoreLink>https://community.oecd.org/community/oneauthor</MoreLink>
    <MoreText/>
  </HelpItem>
  <HelpItem>
    <Id>Wiz1</Id>
    <Title>Insert Word Table</Title>
    <Text>Go to the add-in → Tables, Figures and Boxes tab → Table → insert an empty table → Insert.&lt;br&gt;Note: Tick the box "Include chapter number" if you would like the chapter number to appear in the table number e.g. Table 1.1. not Table 1.</Text>
    <VideoLink/>
    <MoreLink/>
    <MoreText>All the necessary styles for your table will be inserted in just one click including the table cell, row heading and column heading styles. As Word's caption style is used for the title, numbering will be automatic and you will be able to automatically generate tables of tables/figures/boxes.</MoreText>
  </HelpItem>
  <HelpItem>
    <Id>Wiz2</Id>
    <Title>Insert Excel Table</Title>
    <Text>Copy the relevant table in Excel.&lt;br&gt;Go to the add-in → Tables, Figures and Boxes tab → Table → insert a table from the clipboard → Insert.&lt;br&gt;Note: Tick the box "Include chapter number" if you would like the chapter number to appear in the table number e.g. Table 1.1. not Table 1.</Text>
    <VideoLink/>
    <MoreLink/>
    <MoreText>All the necessary styles for your table will be inserted in just one click including the table cell, row heading and column heading styles. As Word's caption style is used for the title, numbering will be automatic and you will be able to automatically generate tables of tables/figures/boxes.</MoreText>
  </HelpItem>
  <HelpItem>
    <Id>Wiz3</Id>
    <Title>Insert Figure</Title>
    <Text>Go to the add-in → Tables, Figures and Boxes tab → Figure.&lt;br&gt;Choose whether you want to insert an empty figure, a figure from the clipboard or a figure from a file. If you choose to import from a file you can choose to import as linked to the source file or as static content.&lt;br&gt;Note: Tick the box "Include chapter number" if you would like the chapter number to appear in the figure number e.g. Figure 1.1. not Figure 1.</Text>
    <VideoLink/>
    <MoreLink/>
    <MoreText>All the necessary styles for your figure will be inserted in just one click. As Word's caption style is used for the title, numbering will be automatic and you will be able to automatically generate tables of tables/figures/boxes.&lt;br&gt;&lt;br&gt;If you inserted a file as linked to a source file it will be updated automatically to match the source file when you run the Quality Checks.&lt;br&gt;Note: you will need to break any links to external files before submitting your document (File → Info → Edit Links to Files).</MoreText>
  </HelpItem>
  <HelpItem>
    <Id>Wiz4</Id>
    <Title>Insert Box</Title>
    <Text>Go to the add-in → Tables, Figures and Boxes tab → Box.&lt;br&gt;You can choose to insert an empty box or create a box from text on your clipboard.&lt;br&gt;Note: Tick the box "Include chapter number" if you would like the chapter number to appear in the box number e.g. Box 1.1. not Box 1.</Text>
    <VideoLink/>
    <MoreLink/>
    <MoreText>All the necessary styles for your box will be inserted in just one click. As Word's caption style is used for the title, numbering will be automatic and you will be able to automatically generate tables of tables/figures/boxes.</MoreText>
  </HelpItem>
  <HelpItem>
    <Id>StyleBox</Id>
    <Title>Select Styles Tool</Title>
    <Text>Home tab → Styles group → More (i.e. the arrowhead at the bottom-right corner of the Styles Gallery)</Text>
    <VideoLink/>
    <MoreLink/>
    <MoreText>If you prefer you can also display the Styles window by clicking on the arrow at the bottom right of the Styles Group (or Alt+Ctrl+Shift+S).</MoreText>
  </HelpItem>
  <HelpItem>
    <Id>STY1</Id>
    <Title>Heading Part Style</Title>
    <Text>
      Use the shortcut &lt;b&gt;Alt + H,P&lt;/b&gt;.&lt;br&gt;
      Or go to the Home tab → Styles group and choose "Part" from the Styles gallery.&lt;br&gt;
      Click on the Multilevel List button and apply the numbering style where heading 1 has a chapter prefix (and heading 6 has a Part prefix).&lt;br&gt;
      Use Heading styles within the body of your document only. Title styles should be used for front matter e.g. Executive Summary or Foreword.
    </Text>
    <VideoLink/>
    <MoreLink/>
    <MoreText>
      The Multilevel List button can be found on the Home tab in the Paragraph group.
      &lt;br&gt;&lt;br&gt;
      &lt;b&gt;Tip:&lt;/b&gt; To add the Multillevel List button to the Quick Access Toolbar, right-click on the Multilevel List button and click Add to Quick Access Toolbar.
    </MoreText>
  </HelpItem>
  <HelpItem>
    <Id>STY2</Id>
    <Title>Heading 1 Style</Title>
    <Text>Use the shortcut &lt;b&gt;ALT+1&lt;/b&gt;.&lt;br&gt;Or go to Home tab → Styles group and choose "Heading 1" from the Styles Gallery.&lt;br&gt;
      Use Heading styles within the body of your document only. Title styles should be used for front matter e.g. Executive Summary or Foreword.
    </Text>
    <VideoLink/>
    <MoreLink/>
    <MoreText>
      By default, Headings 1-3 are styled with the numbering format 1. / 1.1 /1.1.1 and headings 4 and 5 are unnumbered. To change this:&lt;br&gt;
      1. Place your cursor on one of your headings. &lt;br&gt;
      2. Go to Home tab → Paragraph group → Multilevel List. Alternatively, use the Multilevel List button on the Quick Access Toolbar. &lt;br&gt;
      3. Select the desired numbering format for your headings from the List Library. &lt;br&gt;&lt;br&gt;
      In just one click, all heading numbering will be updated throughout the document.&lt;br&gt;
      &lt;b&gt;Tip:&lt;/b&gt; To add the Multillevel List button to the Quick Access Toolbar, right-click on the Multilevel List button and click Add to Quick Access Toolbar.
    </MoreText>
  </HelpItem>
  <HelpItem>
    <Id>STY3</Id>
    <Title>Heading 2 Style</Title>
    <Text>Use the shortcut &lt;b&gt;ALT+2&lt;/b&gt;.&lt;br&gt;Or go to Home tab → Styles group and choose "Heading 2" from the Styles Gallery.&lt;br&gt;
      Use Heading styles within the body of your document only. Title styles should be used for front matter e.g. Executive Summary or Foreword.
    </Text>
    <VideoLink/>
    <MoreLink/>
    <MoreText>
      By default, Headings 1-3 are styled with the numbering format 1. / 1.1 /1.1.1 and headings 4 and 5 are unnumbered. To change this:&lt;br&gt;
      1. Place your cursor on one of your headings. &lt;br&gt;
      2. Go to Home tab → Paragraph group → Multilevel List. Alternatively, use the Multilevel List button on the Quick Access Toolbar. &lt;br&gt;
      3. Select the desired numbering format for your headings from the List Library. &lt;br&gt;&lt;br&gt;
      In just one click, all heading numbering will be updated throughout the document.&lt;br&gt;
      &lt;b&gt;Tip:&lt;/b&gt; To add the Multillevel List button to the Quick Access Toolbar, right-click on the Multilevel List button and click Add to Quick Access Toolbar.
    </MoreText>
  </HelpItem>
  <HelpItem>
    <Id>STY4</Id>
    <Title>Heading 3 Style</Title>
    <Text>Use the shortcut &lt;b&gt;ALT+3&lt;/b&gt;.&lt;br&gt;Or go to Home tab → Styles group and choose "Heading 3" from the Styles Gallery.&lt;br&gt;
      Use Heading styles within the body of your document only. Title styles should be used for front matter e.g. Executive Summary or Foreword.
    </Text>
    <VideoLink/>
    <MoreLink/>
    <MoreText>
      By default, Headings 1-3 are styled with the numbering format 1. / 1.1 /1.1.1 and headings 4 and 5 are unnumbered. To change this:&lt;br&gt;
      1. Place your cursor on one of your headings. &lt;br&gt;
      2. Go to Home tab → Paragraph group → Multilevel List. Alternatively, use the Multilevel List button on the Quick Access Toolbar. &lt;br&gt;
      3. Select the desired numbering format for your headings from the List Library. &lt;br&gt;&lt;br&gt;In just one click, all heading numbering will be updated throughout the document.&lt;br&gt;
      &lt;b&gt;Tip:&lt;/b&gt; To add the Multillevel List button to the Quick Access Toolbar, right-click on the Multilevel List button and click Add to Quick Access Toolbar.
    </MoreText>
  </HelpItem>
  <HelpItem>
    <Id>STY5</Id>
    <Title>Heading 4 Style</Title>
    <Text>Use the shortcut &lt;b&gt;ALT+4&lt;/b&gt;.&lt;br&gt;
      Use Heading styles within the body of your document only. Title styles should be used for front matter e.g. Executive Summary or Foreword.
    </Text>
    <VideoLink/>
    <MoreLink/>
    <MoreText>
      By default, Headings 1-3 are styled with the numbering format 1. / 1.1 /1.1.1 and headings 4 and 5 are unnumbered. To change this:&lt;br&gt;
      1. Place your cursor on one of your headings. &lt;br&gt;
      2. Go to Home tab → Paragraph group → Multilevel List. Alternatively, use the Multilevel List button on the Quick Access Toolbar. &lt;br&gt;
      3. Select the desired numbering format for your headings from the List Library. &lt;br&gt;&lt;br&gt;
      In just one click, all heading numbering will be updated throughout the document.&lt;br&gt;
      &lt;b&gt;Tip:&lt;/b&gt; To add the Multillevel List button to the Quick Access Toolbar, right-click on the Multilevel List button and click Add to Quick Access Toolbar.
    </MoreText>
  </HelpItem>
  <HelpItem>
    <Id>STY6</Id>
    <Title>Heading 5 Style</Title>
    <Text>Use the shortcut &lt;b&gt;ALT+5&lt;/b&gt;.&lt;br&gt;
      Use Heading styles within the body of your document only. Title styles should be used for front matter e.g. Executive Summary or Foreword.
    </Text>
    <VideoLink/>
    <MoreLink/>
    <MoreText>
      By default, Headings 1-3 are styled with the numbering format 1. / 1.1 /1.1.1 and headings 4 and 5 are unnumbered. To change this:&lt;br&gt;
      1. Place your cursor on one of your headings. &lt;br&gt;
      2. Go to Home tab → Paragraph group → Multilevel List. Alternatively, use the Multilevel List button on the Quick Access Toolbar. &lt;br&gt;
      3. Select the desired numbering format for your headings from the List Library. &lt;br&gt;&lt;br&gt;
      In just one click, all heading numbering will be updated throughout the document.&lt;br&gt;
      &lt;b&gt;Tip:&lt;/b&gt; To add the Multillevel List button to the Quick Access Toolbar, right-click on the Multilevel List button and click Add to Quick Access Toolbar.
    </MoreText>
  </HelpItem>
  <HelpItem>
    <Id>STY7</Id>
    <Title>Body Text Style</Title>
    <Text>Use the shortcut &lt;b&gt;ALT+p&lt;/b&gt;.&lt;br&gt;Or go to Home tab → Styles group and choose "Para" from the Styles Gallery.</Text>
    <VideoLink/>
    <MoreLink/>
    <MoreText>&lt;b&gt;Tip:&lt;/b&gt; If you don't see the style you need, click the "More" arrowhead at the bottom-right of the Styles Gallery.</MoreText>
  </HelpItem>
  <HelpItem>
    <Id>STY8</Id>
    <Title>Num Doc Para Style</Title>
    <Text>Use the shortcut &lt;b&gt;ALT+n&lt;/b&gt;.&lt;br&gt;Or go to Home tab → Styles group and choose "Para #" from the Styles Gallery.</Text>
    <VideoLink/>
    <MoreLink/>
    <MoreText>&lt;b&gt;Tip:&lt;/b&gt; If you don't see the style you need, click the "More" arrowhead at the bottom-right of the Styles Gallery.&lt;br&gt;&lt;b&gt;Why use the Para # style?&lt;/b&gt;&lt;br&gt;Your paragraph numbering will update automatically as you add and delete paragraphs eliminating the risk of numbering errors.</MoreText>
  </HelpItem>
  <HelpItem>
    <Id>STY9</Id>
    <Title>Num Chap Para Style</Title>
    <Text>
      1. First, make sure you have chosen the appropriate numbering style from the List Library.&lt;br&gt;
      2. Go to Home tab → Paragraph group → Multilevel List. Alternatively, use the Multilevel List button on the Quick Access Toolbar.&lt;br&gt;
      3. Check that you have selected the List Style where you see Chapter 1. for Heading 1, followed by 1.1 Para #.#.&lt;br&gt;
      4. Then use the shortcut ALT+c to apply the Para #.# style.&lt;br&gt;
    </Text>
    <VideoLink/>
    <MoreLink/>
    <MoreText>&lt;b&gt;Why use the Para #.# style?&lt;/b&gt;&lt;br&gt;Your paragraph numbering will update automatically as you add and delete paragraphs eliminating the risk of numbering errors.</MoreText>
  </HelpItem>
  <HelpItem>
    <Id>L1</Id>
    <Title>List Bullet Style</Title>
    <Text>Use the shortcut &lt;b&gt;ALT+b.&lt;/b&gt;&lt;br&gt;Or go to Home tab → Styles group and choose "Bulleted List" from the Styles Gallery.&lt;br&gt;Tip: if you prefer, you can use TAB and Shift+TAB instead of the increase and decrease indent buttons on the Home tab.</Text>
    <VideoLink/>
    <MoreLink/>
    <MoreText>We recommend using the dedicated list styles rather then the Bullets button on the Home tab. If you do use this button, you will need to first select the text, then use the button and adjust the indentation manually.</MoreText>
  </HelpItem>
  <HelpItem>
    <Id>L2</Id>
    <Title>List Number Style</Title>
    <Text>Use the shortcut &lt;b&gt;ALT+u.&lt;/b&gt;&lt;br&gt;Or go to Home tab → Styles group and choose "Numbered List" from the Styles Gallery.&lt;br&gt;Tip: if you prefer, you can use TAB and Shift+TAB instead of the increase and decrease indent buttons on the Home tab.</Text>
    <VideoLink/>
    <MoreLink/>
    <MoreText>We recommend using the dedicated list styles rather then the Numbering button on the Home tab. If you do use this button, you will need to first select the text, then use the button and adjust the indentation manually.</MoreText>
  </HelpItem>
  <HelpItem>
    <Id>L3</Id>
    <Title>List Continue</Title>
    <Text>
      &lt;b Style='Color:red'&gt;Obsolete&lt;/b&gt;&lt;br&gt;
      1. Hit enter after a bulleted or numbered list item. &lt;br&gt;
      2. Delete the bullet or number. &lt;br&gt;
      3. Type your text.
    </Text>
    <VideoLink/>
    <MoreLink/>
    <MoreText/>
  </HelpItem>
  <HelpItem>
    <Id>L4</Id>
    <Title>Demote List Style</Title>
    <Text>Use the standard Word button:&lt;br&gt;Home tab → Paragraph group → Decrease Indent button&lt;br&gt;Alternatively, press Shift+TAB.</Text>
    <VideoLink/>
    <MoreLink/>
    <MoreText>If pressing Shift+TAB does not work, go to File → Options → Proofing → Autocorrect Options → AutoFormat As You Type → Tick the box "Set left- and first-indent with tabs and backspaces".</MoreText>
  </HelpItem>
  <HelpItem>
    <Id>L5</Id>
    <Title>Promote List Style</Title>
    <Text>Use the standard Word button:&lt;br&gt;Home tab → Paragraph group → Increase Indent button&lt;br&gt;Alternatively, use the TAB key.</Text>
    <VideoLink/>
    <MoreLink/>
    <MoreText>If pressing TAB does not work, go to File → Options → Proofing → Autocorrect Options → AutoFormat As You Type → Tick the box "Set left- and first-indent with tabs and backspaces".</MoreText>
  </HelpItem>
  <HelpItem>
    <Id>Menu1</Id>
    <Title>Set Number Style</Title>
    <Text>A harmonised formatting for bulleted and numbered lists is proposed and will be applied when you use the Bulleted List (ALT+b) or Numbered List (ALT+u) styles. We recommend that you use the default styling but, if necessary, you can change this using standard Word functionality.</Text>
    <VideoLink/>
    <MoreLink/>
    <MoreText/>
  </HelpItem>
  <HelpItem>
    <Id>Menu2</Id>
    <Title>Set Bullet Style</Title>
    <Text>A harmonised formatting for bulleted and numbered lists is proposed and will be applied when you use the Bulleted List (ALT+b) or Numbered List (ALT+u) styles. We recommend that you use the default styling but, if necessary, you can change this using standard Word functionality.</Text>
    <VideoLink/>
    <MoreLink/>
    <MoreText/>
  </HelpItem>
  <HelpItem>
    <Id>L6</Id>
    <Title>Reset Format</Title>
    <Text>
      &lt;b Style='Color:red'&gt;Obsolete&lt;/b&gt;&lt;br&gt;In AE2007, this button was used to apply the original style formatting on a selected paragraph.&lt;br&gt;
      1. Home tab → Font group → Clear Formatting button (eraser icon).&lt;br&gt;
      2. Reapply the appropriate style.
    </Text>
    <VideoLink/>
    <MoreLink/>
    <MoreText/>
  </HelpItem>
  <HelpItem>
    <Id>L7</Id>
    <Title>Reset Styles</Title>
    <Text>&lt;b Style='Color:red'&gt;Obsolete&lt;/b&gt;&lt;br&gt;In AE2007, this button was used to apply the original formatting all styles throughout the document when troubleshooting.</Text>
    <VideoLink/>
    <MoreLink/>
    <MoreText/>
  </HelpItem>
  <HelpItem>
    <Id>T1</Id>
    <Title>TOC</Title>
    <Text>To insert a TOC and tables of tables/figures/boxes go to:&lt;br&gt;References tab → Table of Contents.&lt;br&gt;Choose one of the pre-styled OECD tables of contents. You can choose the language, number of heading levels and whether or not to include annex tables and figures.</Text>
    <VideoLink/>
    <MoreLink/>
    <MoreText>The TOC and tables of tables/figures/boxes will be automatically updated when you run the Quality Checks via the add-in.&lt;br&gt;&lt;br&gt;If you do not need a table of boxes (or figures or tables), simply select the relevant table and delete it.</MoreText>
  </HelpItem>
  <HelpItem>
    <Id>T2</Id>
    <Title>Convert</Title>
    <Text>&lt;b Style='Color:red'&gt;Obsolete&lt;/b&gt;&lt;br&gt;The convert button served multiple purposes in AE2007, all of which are managed in more intuitive ways in O.N.E Author.</Text>
    <VideoLink/>
    <MoreLink/>
    <MoreText>
      1. &lt;b&gt;Converting selection → Charts/Figs./Tables Properties:&lt;/b&gt;&lt;br&gt;Charts/figures/tables can be easily inserted the add-in and titles can be directly modified as necessary.&lt;br&gt;
      2. &lt;b&gt;Modifying the cote, document classification or document language:&lt;/b&gt;&lt;br&gt;Modify directly on the cover page.&lt;br&gt;3) &lt;b&gt;Modifying the page size:&lt;/b&gt;&lt;br&gt;Page Layout tab → Page Setup group → Size button&lt;br&gt;4) &lt;b&gt;Modifying the page orientation:&lt;/b&gt;&lt;br&gt;Page Layout tab → Page Setup group → Orientation button&lt;br&gt;5) &lt;b&gt;"Convert to publication"&lt;/b&gt;:&lt;br&gt;Change the cover page to a publication cover page via Insert tab → Cover Page → Publication
    </MoreText>
  </HelpItem>
  <HelpItem>
    <Id>T3</Id>
    <Title>Page Break</Title>
    <Text>Use the standard Word functionality:&lt;br&gt;Page Layout tab → Page Setup group → Breaks button</Text>
    <VideoLink/>
    <MoreLink>https://support.office.com/en-GB/article/Insert-a-page-break-7613ff46-96e5-4e46-9491-40d7d410a043</MoreLink>
    <MoreText/>
  </HelpItem>
  <HelpItem>
    <Id>T4</Id>
    <Title>Footnotes/Endnotes</Title>
    <Text>
      Use the standard Word functionality:&lt;br&gt;References tab → Footnotes group → Insert Footnote button/Insert Endnote button
    </Text>
    <VideoLink/>
    <MoreLink/>
    <MoreText>
      O.N.E Author uses standard Microsoft Word functionality to facilitate collaboration with external partners. In Word, it is possible to insert either footnotes or endnotes. The notion of "footnotes" for tables, figures or boxes does not exist. You can either:&lt;br&gt;
      1. Use standard footnotes and have the notes appear at the bottom of the page.&lt;br&gt;
      2. Manually insert superscript numbers (Home tab, Font Group, Superscript button) and manually number the notes.&lt;br&gt;
    </MoreText>
  </HelpItem>
  <HelpItem>
    <Id>T5</Id>
    <Title>ParaNum Options</Title>
    <Text>In AE2007, this button was most commonly used to remove paragraph numbering throughout the document. You can replicate this using Word's standard find and replace functionality.</Text>
    <VideoLink/>
    <MoreLink/>
    <MoreText>
      1. Home tab → Editing group → Replace button&lt;br&gt;
      2. Format button → Style and select Para # in the styles list.&lt;br&gt;
      3. Click in the "replace with" box.&lt;br&gt;
      4. Format button → Style and select Para in the styles list.&lt;br&gt;
      5. Click "replace all".&lt;br&gt;
      &lt;b&gt;Tip:&lt;/b&gt; If you don't see the Format button click on the more button.
    </MoreText>
  </HelpItem>
  <HelpItem>
    <Id>T6</Id>
    <Title>Reset Counters</Title>
    <Text>
      Use the standard Word functionality. &lt;br&gt;
      1. Right-click on the number of the numbered paragraph that you want to change.&lt;br&gt;
      2. Click Set Numbering Value&lt;br&gt;
      3. Change the value to the desired number.
    </Text>
    <VideoLink/>
    <MoreLink>https://support.office.com/en-gb/article/Change-the-numbering-in-a-numbered-list-a9731137-8a85-47ce-a7e4-8b1c6c8c77a3</MoreLink>
    <MoreText/>
  </HelpItem>
  <HelpItem>
    <Id>T7</Id>
    <Title>Annotation Mode</Title>
    <Text>&lt;b Style='Color:red'&gt;Obsolete&lt;/b&gt;&lt;br&gt;This AE functionality was used in very few documents. However, if required, you can recreate the same format using a two-column table.</Text>
    <VideoLink/>
    <MoreLink/>
    <MoreText/>
  </HelpItem>
  <HelpItem>
    <Id>T8</Id>
    <Title>Insert OECD Letter</Title>
    <Text>Insert tab → Text group → click on the arrow next to the Object button → Text from File → browse to the relevant file → Insert</Text>
    <VideoLink/>
    <MoreLink/>
    <MoreText/>
  </HelpItem>
  <HelpItem>
    <Id>T9</Id>
    <Title>Find Cotes</Title>
    <Text>Document code (cote) enrichment (ex. Find Cotes) is part of the Quality Checks. To run the Quality Checks feature go to the add-in → Quality Checks tab → Run.</Text>
    <VideoLink/>
    <MoreLink/>
    <MoreText>If an invalid document code (cote) is found you can click on the "go to anomaly" button to be taken directly to error to correct it.</MoreText>
  </HelpItem>
  <HelpItem>
    <Id>P1</Id>
    <Title>Author</Title>
    <Text>&lt;b Style='Color:red'&gt;Obsolete&lt;/b&gt;&lt;br&gt;File tab → Info tab → Related People field → click Add an author → type the name on the box or click on the address book icon</Text>
    <VideoLink/>
    <MoreLink/>
    <MoreText/>
  </HelpItem>
  <HelpItem>
    <Id>P5</Id>
    <Title>Validate</Title>
    <Text>O.N.E Author add-in → Quality Checks tab → Run button&lt;br&gt;&lt;br&gt;The Quality Checks feature in O.N.E Author performs various checks and automatic updates.</Text>
    <VideoLink/>
    <MoreLink/>
    <MoreText>The Quality Checks feature includes updating the cover page, table of contents and other fields like table/figure/box numbering; structure checks e.g. missing heading levels and formatting checks e.g. new styles. Document code (cote) enrichment, i.e. the new Find Cotes, is also integrated within the Quality Checks feature. If no major errors are found, the “Submit your document” button will be available.</MoreText>
  </HelpItem>
  <HelpItem>
    <Id>InsertEPSEMF</Id>
    <Title>Insert Chart/Image</Title>
    <Text>O.N.E Author add-in → Tables, Figures and Boxes → choose either EMF or JPEG file</Text>
    <VideoLink/>
    <MoreLink/>
    <MoreText/>
  </HelpItem>
  <HelpItem>
    <Id>P4</Id>
    <Title>Para Spacing Options</Title>
    <Text>&lt;b Style='Color:red'&gt;Obsolete&lt;/b&gt;&lt;br&gt;Appropriate spacing is integrated in the O.N.E Author styles.</Text>
    <VideoLink/>
    <MoreLink/>
    <MoreText/>
  </HelpItem>
  <HelpItem>
    <Id>StyleGalleryClassic</Id>
    <Title>Style</Title>
    <Text>
      Available under the the Quick Access Toolbar. &lt;br&gt;&lt;img alt="Embedded Image" src="data:image/png;base64,iVBORw0KGgoAAAANSUhEUgAAASYAAAAqCAIAAACRE2FCAAAAAXNSR0IArs4c6QAAAARnQU1BAACx
      jwv8YQUAAAAJcEhZcwAAEnQAABJ0Ad5mH3gAABDiSURBVHhe7Z15VBRXvsczfyUz43vPyWTeecY1
      TtQkRqKZLEYRjEQiCqICsqOibCKCKIvsakYQIYFmbWikF+imm6UbEBBkcUFFRARxiRodxCSujCuL
      Eqn3rS5C2urqhkbljKF+53vqlLdubffez/39frdafY1gjTXWhtFY5FhjbViNRY411obVWOTUrKeH
      ePyY1VDU29vXhqxpNha5Z+10M2FjQ0yezEpn6ekR0dFER0dfS7KmwUjkMDf1skYaQXh7E3/4A/Ha
      a6yGotGje7//vq8tWWOyPuR4iiZDtyyzzbkjXAsCio9N/gd9GLHSRZ5OsQv9FbSGZQWZeOfYhii6
      Hv9CIredV/vf82MnmSeNcL1pyS//Pz1q6OycZb3QNHKZcZi5cSgrbVoUDrWO+l+q3RZ+GfI3Cx6t
      YVlBby/h6NnxOrt7SOSiBMfGmHA+sE4b4RrvkFU5diY1dNYa+ox2zh9vJxhrw2elSeNsBWi0cY5Z
      50ePo9pt6aKISfYCWsOygqZYpMx2FrDIPSNV5Dz1Pd+yFoUnFOUWVQlzK1ipS5RXkV1QOc9NONky
      7cL/jGWR0y4WOQbRkPvLSiE3u6z7wc0n3Y9Yqaun+9H3Z5sWeAomWbDIDSwWOQbRkHtzpZDD3/uk
      6wGaiDVGO326eb4HnxG591fSm3eESxtyaKzBqL/+70aMyHV33KOGF2vq1tzcxIjcNEvuO8uS37Pi
      Ug37/kCDqr8LhqCXevEXKGbkptukvbsiZcLSpImQuWYtTUKdKRapqK960cHovZXcaVZcdMb7K/v6
      4+UJ96JavP+mELmj4dYscroaE3LhE+34Zr5Syb6mhV5iDCc0LPDTPqI09chgNMlc88WV5cMw0gYj
      ZuTwfAGc/ZXHLuw7cr6m/mL1cQahvOzwedRx3l6E+qoX1S6M/uk26QZuIhMfqYm3DLenVXiBeg/3
      sk6bs1Y4yzEDM66BW9ZiH+mijTmQibd0nqtohm26ek+wyOlq6siZGodPsONX1l0gfulculmGQY9+
      F5eeOtJ4mTaQKB1QDrP57lkUnDoJoH5om84vOnmo4RIuUvWsUFJz4qK8+swXawVTLFNp5w6/mJEb
      s5gjLD6JkqIDZzfGlG1NrFQXyo+euow627g1qK96US2ivA2GvmVggX1Ykalv7sdOmS/J6aMnZjlk
      GHlKrALleEn0JSDHTW2CC22CFbYhhdZBis/W8OHuaCeyyOlq6siZfR0xwZbvFK74ofW6sZd4glki
      GnZDdGlIchVtIFEKUm4/W505zUpnKtCDHznwWq/d5EiOukeWeO4qxY0oYX99VGlYavXNW3e+3iiZ
      rDvPL1zMyL29JCEtv54gngYk7P+TYcxY00R1oTxFVoc6wUlVqK96UU0io23rNH1XkUVAgU1I4WIf
      2UyHDDzBNMtUNPSvcSb9rKEJvH3slLHIWwrAcLtPVmUCua835gA2kAaZbc41dMvSs+ep31Ercrca
      ctN3+fn5BwZs8Y8pOn2zS1k6wo0JuXAgl5BT19XxoK75CoKavyNVMUsauySBNpBUhQGAqITWHQMK
      IwcDqel8G5zkDt5BQfFJnvwEpT2FDUmyun847Tl5ptVkowTPQDt3+DUAcuHcGk04oTxDfkIn5D6w
      SZ/rIloRUIARvzJIvnRz3sINkq82SMitp+RLj+y5LsKP7DOeJ6CnBIqQXuKytqGFizfJPlvNRyg7
      1ZIL5ODcjDfmmG/Jg5vFnMp4L63IXRRvcPH0ikzPlWVFuK4LFxy89khZPqKN0ctNtBdsjqsITq6K
      4NYgqHt7cQJ4e9fixYd2FHKnzl1FBHvj1h3lE/3yq54SRJepr/RES+uikYYc/BsC7kU+Mvg3q61y
      yDpYgTDPQSn70CKUA4Mlm2T660SoqQ4DpsCp8IdKYUdLNoyaiBiX++cv9y/4lIxVSOeJLfI3h/Di
      z535c11FYN7EO+cjex4q007XitwPOZsCkgvOd2L30aFYD/+kovP3lQdGsjEtn5ArluPNEkHamMUJ
      SKQzFA2lh8+Zb5HpFMuQV4Bj7BOzG6SQa/6+zXST1DqoYH1UCcLLLXEVCCndI/eu3V4M4JvPt2lC
      DiNT9S7j4Gyfe9LXIu3I9frF739zYRxchOo5EEpGG32XJEVg2auDl7NOw3A398sDbCuDFEt8ZPou
      ornrhNgi2oSXA28I/CwD5XPWCcn6Kh2DVkAduCkjTzG0aKMUsaI6LZTQB7ga7oItHpWC8z2rNDQ9
      SJuzVgikkUaC8E9XkUCqngtpR07q6x+ffeIGuX+92Hfzt/y66wRxp16cumtrSEjEdmndj+QHvNsN
      +SXlkvTY2OyqK/fbmqRpu4JCQiO259b//BDz7itpXC43KiqKw+HExcXt2LHjxg1lGyhNE3JUewIw
      yCu6TLKvqbT23JfuImqNhAISg6dfqkShxxGqpBWcEJc2AVd+0UlZRfM8F+EUNT9JIYfA0sxXGpRU
      lSitixYcxrm7BIezS0+l5h1HwAkfyIgczsW0m1l4MqvkFO4iKG6UlDXNXsPHnE6rqUl4NVDa/woI
      j7UvjWpF7unj483/MvGRgK7+K1JCiVOY4tylH1FHh1yObHru7LUC+B+bEAUCS4R8Uy1SISppRsMh
      zgSNSLQ+dtyjShQ64LM1mdSiCzwVgJmJEFQzcsYbcuA5wRgtHcfbznLcAz8Jeu1CCj9fgwq6Ifeb
      l7tdHO4amFr+A9K5+xcOVhSKZbKETe7bJdVtnUSr2MNxjUtwdFpFw0+Pbl6prSyUyGQcb7ft0prW
      h8oLvXJWWFg4e/bs6dOnT506NTIysr29ve/AwMhxkVMEJlR+4cxvudhmFZg3cSm5xJ0kOy6vPiMt
      b4Zy95/Gdp4riOqjAj2OE7enHyCeooGfEEQPkjRkZeowUMhRgeUPVzEB9jzuemjsJUZMC68A/Axc
      RZqQIyG3SUMdguim7sLNq8fQwgih1WQUdWtkjPmVLXj+/MrTwr2NcAbIYmg1+6UVuZ4O4peu2sbL
      32YdSc49riqUnL14rbenE3V08nIUdcjoLALlDuFFcGjwcnhnslz5Anr2PMrX4bFor422RotbBJDB
      J9yUlkbBdZDI2YUWzVknmPbslINDeADcbpG3FHmd7shdzg/0cl/lExa1M2Ld+oC0srN30FWIr6/W
      FIriE7ZtMHXcKWu5R/ws93Xbmnz0lvIcoqe1WiHiJGzzNHWMzDt9myp8Ba26utrIyCg2Nvbp02d8
      tXbklDNj+s1b7QcbLt2+075sC/nNAOXAKSX3eELOMQiuCds5awWqRIE6OA1/zv6H9+/BWb27IhXM
      aAosKeQaz1190vUId/lyfdbrc3e/MW/36/oxena8MxevaQoscTr8bWhK9cMH9+Oyj76zLFndkWoS
      Xg1OEsQmy8gXSZLVxWYdgbdQH1T90o5c5532fyvnmF5lGqqq3qdPOsijPZ06IQdhxCPY+8JZaOie
      hcDv8zXk2gYYoI7CKS30ksBBkbSoQYX+QP1ZDgNMQnhhxBLWQYoF68X9gWW/8Edcwcw31yIwHxOS
      7sht9HIP3pWSlJBcdrZdyVvP1aNp8RGR0TGc5Ih1nomlZ+8RP+ZvCkjJV9LV03okNW5bZHSs8mjS
      vpZXFzlYeXl5Zyfp41VtMIElvFxaQX20oHa2M38KuUbNReKENI+MLZX5Hrakz3m2L0Ad+PSP369n
      m87IG4RLMXq53cJaeB6e/ISWwJISrgDSAjj7sa/TAg+eB084an4s2P6jQcwb82L+bBiLq8GL0Gr2
      awDkujoeIOX9hncwRlirKpQcPXUZR4eAHIQOwGOBH6g/OPzNy/nKkHEh62P8RIM6eElaIU24Jlha
      5pe3IqAAsavqKTgE5NAHCF8RW2L+63+Afg0msHzmnxm4luvtvDvvEva6ysK3cvKb7pLI+SVIT5Fe
      7lqO1+qYAvITZmdJWGCCXFn4+zLtyFFCwjNmMYfi6kObdEAyw46nWkGLcC45jtXKKeEQrkYtn3hE
      lUZwawI5+3GXoKRKjuTYzj2H5rmKmrQiB2FMkgsnmu/CKNSf6cCDf8ONYkS18ZKjybl1nyD6HbKX
      Q2DpF1/xJ4MYJG9v6O/+68I4zExoNTCdLKvD0aEhpy4KiVlOGXBx1sEKEx+pci2RXk0nGXmKbUIK
      kRbOdhbOsOUBYMCGvjFwz7IILLAKIr+Pv2/N0DRakbsgdPWMyjj2k/IPfXb7RGJYgF/IN99lcnwt
      V+3Kb75LtIldPKKFylWWW3WcEH+/0H9+lxm/ydJpl7xpZCLXL/SCoZuIX3Ry3TfFYG/ACXRAqSLn
      HlkSmlIVlFQVlXkoJKUa1PnFVSB5adK8Yvk8AnJ6dunp5NI98kAyFUQuh4d5DuR6OsNSq0HaqvDC
      2Oy65X65f19OPjQqkF8IlBVeCHIINr7ylAAPZHHL/PI/Xc3vDzWHJnQkokdjrxybEIVFgBw7hm5k
      HGviI7MOJr9GGLhlISGkxZyUtCJ3p3lvae2pa7S/VnDjuIL/7Tf/5MqLcgsbr9zsJO63FJccaf5J
      uVLSe72ugDyahqOKxis3fn8f8nRFTt9FCM+wZlsR1QVKB8gcWA5GFHKNZ8nA8tYdalHntwyIIB6b
      +cpOtPzrZSAHIceZaJ4ULz7a1fGQm1dPpoJasx5m5MYsScgsbCB6u0EUvNxrejsyFA2oEJJc9fq8
      3QDsjwZKLwfkiO7w1BrUV72orkKjL/aRIn9b7p+PYO+T1ZnKQno1XYX++8g+Y75HtrlfPkgmv/6F
      FVltlS/ZJJtDrtkw8wZpRY41BtMROXJCRHpmQK5PkqNzWxq5joKojLZ8MkhRyMGPwXlu+rYcAR5c
      HKVoweHt6QcwDE6efYm/PgF1AGnnnoMfrCSJoh2liRm58WaJO9IPkKka0VN1/EJQYiWmEEwY2N/B
      O4BXwhb5KI7evXt3fVQJ6qteVFdh6M9ZK5zvno1HIZcinzvS6BcVtMBnwsUhzlywXqzvIkL3oByp
      o2pNVbHI6Wo6IYepEL18qfW65a9fC1Lz6vcePJdXedrAVTTgkFUXkEMa0vbTTdHeRoSUcAwIKfuU
      XIUoDC6ovf3fX3u9xN9Ykr7abFDf0JmRm2rJXeCRFZl5KKukMae8uejAGXFZ0x5FA/YVNWfk1S3Y
      ogRHQ5OrlTPT80KCbkCuhe3zOzd1oSHQK5iKSCmXT2gVaGKR09WGgNzlqzesAvMmLUtGSf+PP3Bo
      CIEl+vdD2zRwhYGqqCbHJ00YrnsKGz7X5QP3yxMzcnhtPNyEpQP8CBVHMUthEA+hmf6TxSKnq+ma
      yyGqjxcfM1qf/QJ/cgluNQ7XJYnkaiTuq3bW8IsZuREuFjldTSfkKGFC//1N1oMRixyDGJHr6X5F
      f6c1HKbl3z5hRROLHINoyP3FSpguLuu693PXo7us1NXdcffC2SYj9l/4GpxY5BhEQ+5vNiL/GDlP
      si9BUMJKXUmCktSsfXNdBJMt01nkBhSLHINoyI11JLP8d5alvLOclSalTrPmTbPhscgNKBY5Bqki
      5zzf97/Wysc5iFhp11hH8duO4vOjx7PIaReLHINUkftuxvIVxqFOC/xYaZeDkb+9kX/bn99ikdOu
      Z5DbxqsdZRgzYWniCNdoi8zSv06nhg6roekrw6C3VvBoDcsKGmMSP8OW10EhJyhpMfGWrgySj3CZ
      hpUe1l9GG0OsBq/eUaM2eySbh5bQGpYVtCIg33lHSTf1/8ux9pvV1xMWFsTMmax01qxZREQE8ZD9
      LxwGMBY51lgbVmORY421YTSC+H/BeXX2MHFFWQAAAABJRU5ErkJggg==" /&gt;
    </Text>
    <VideoLink/>
    <MoreLink/>
    <MoreText>To add this command to the Quick Access Toolbar, go to File, Options, Quick Access Toolbar and choose Style from the list of commands. Click Add and then OK.</MoreText>
  </HelpItem>
  <HelpItem>
    <Id>Font</Id>
    <Title>Font</Title>
    <Text>Available under:&lt;br&gt;Home tab → Font group</Text>
    <VideoLink/>
    <MoreLink/>
    <MoreText/>
  </HelpItem>
  <HelpItem>
    <Id>FontSize</Id>
    <Title>Font Size</Title>
    <Text>Available under:&lt;br&gt;Home tab → Font group</Text>
    <VideoLink/>
    <MoreLink/>
    <MoreText/>
  </HelpItem>
  <HelpItem>
    <Id>AlignLeft</Id>
    <Title>Alignment</Title>
    <Text>Use the standard Word buttons:&lt;br&gt;Home tab → Paragraph group</Text>
    <VideoLink/>
    <MoreLink/>
    <MoreText/>
  </HelpItem>
  <HelpItem>
    <Id>AlignRight</Id>
    <Title>Alignment</Title>
    <Text>Use the standard Word buttons:&lt;br&gt;Home tab → Paragraph group</Text>
    <VideoLink/>
    <MoreLink/>
    <MoreText/>
  </HelpItem>
  <HelpItem>
    <Id>AlignCenter</Id>
    <Title>Alignment</Title>
    <Text>Use the standard Word buttons:&lt;br&gt;Home tab → Paragraph group</Text>
    <VideoLink/>
    <MoreLink/>
    <MoreText/>
  </HelpItem>
  <HelpItem>
    <Id>AlignJustify</Id>
    <Title>Alignment</Title>
    <Text>Use the standard Word buttons:&lt;br&gt;Home tab → Paragraph group</Text>
    <VideoLink/>
    <MoreLink/>
    <MoreText/>
  </HelpItem>
  <HelpItem>
    <Id>Bold</Id>
    <Title>Emphasis (Bold, Italic)</Title>
    <Text>Use the standard Word buttons:&lt;br&gt;Home tab → Font group</Text>
    <VideoLink/>
    <MoreLink/>
    <MoreText/>
  </HelpItem>
  <HelpItem>
    <Id>Italic</Id>
    <Title>Emphasis (Bold, Italic)</Title>
    <Text>Use the standard Word buttons:&lt;br&gt;Home tab → Font group</Text>
    <VideoLink/>
    <MoreLink/>
    <MoreText/>
  </HelpItem>
  <HelpItem>
    <Id>ParagraphMarks</Id>
    <Title>Show/Hide</Title>
    <Text>Use the standard Word button:&lt;br&gt;Home tab → Paragraph group</Text>
    <VideoLink/>
    <MoreLink/>
    <MoreText/>
  </HelpItem>
  <HelpItem>
    <Id>FilePrintPreview</Id>
    <Title>Print Preview</Title>
    <Text>&lt;b Style='Color:red'&gt;Obsolete&lt;/b&gt;&lt;br&gt;In AE2007, this button was used to update paragraph numbering. There is no equivalent in O.N.E Author : paragraph numbering will update automatically.&lt;br&gt;</Text>
    <VideoLink/>
    <MoreLink/>
    <MoreText>If you would actually like to view a print preview of your document, use the standard Word functionality File tab → Print</MoreText>
  </HelpItem>
  <HelpItem>
    <Id>TextFromFileInsert</Id>
    <Title>Insert Text from File</Title>
    <Text>Insert tab → Text group → click on the arrow next to the Object button → Text from File → browse to the relevant file → Insert</Text>
    <VideoLink/>
    <MoreLink/>
    <MoreText/>
  </HelpItem>
</HelpItems>
</file>

<file path=customXml/item7.xml><?xml version="1.0" encoding="utf-8"?>
<ct:contentTypeSchema xmlns:ct="http://schemas.microsoft.com/office/2006/metadata/contentType" xmlns:ma="http://schemas.microsoft.com/office/2006/metadata/properties/metaAttributes" ct:_="" ma:_="" ma:contentTypeName="Working Document" ma:contentTypeID="0x0101008B4DD370EC31429186F3AD49F0D3098F00D44DBCB9EB4F45278CB5C9765BE5299500A4858B360C6A491AA753F8BCA47AA91000DF758F8F0D715C4CA37F4DE88FE9F129" ma:contentTypeVersion="62" ma:contentTypeDescription="" ma:contentTypeScope="" ma:versionID="ab9c4c395e9c1b0c0f46ff059b4621d3">
  <xsd:schema xmlns:xsd="http://www.w3.org/2001/XMLSchema" xmlns:xs="http://www.w3.org/2001/XMLSchema" xmlns:p="http://schemas.microsoft.com/office/2006/metadata/properties" xmlns:ns2="c94570b9-8831-43f2-b70c-0cad48a8c3b0" xmlns:ns3="ca82dde9-3436-4d3d-bddd-d31447390034" xmlns:ns4="66f79233-c467-41b3-a389-c101ba401ba7" xmlns:ns5="c94570b9-8831-43f2-b70c-0cad48a8c3b0" targetNamespace="http://schemas.microsoft.com/office/2006/metadata/properties" ma:root="true" ma:fieldsID="6daf5c73839389e4d490abdc0d765877" ns5:_="" ns3:_="" ns4:_="">
    <xsd:import namespace="c94570b9-8831-43f2-b70c-0cad48a8c3b0"/>
    <xsd:import namespace="ca82dde9-3436-4d3d-bddd-d31447390034"/>
    <xsd:import namespace="66f79233-c467-41b3-a389-c101ba401ba7"/>
    <xsd:import namespace="c94570b9-8831-43f2-b70c-0cad48a8c3b0"/>
    <xsd:element name="properties">
      <xsd:complexType>
        <xsd:sequence>
          <xsd:element name="documentManagement">
            <xsd:complexType>
              <xsd:all>
                <xsd:element ref="ns2:OECDMeetingDate" minOccurs="0"/>
                <xsd:element ref="ns3:OECDlanguage" minOccurs="0"/>
                <xsd:element ref="ns2:OECDExpirationDate" minOccurs="0"/>
                <xsd:element ref="ns4:OECDProjectLookup" minOccurs="0"/>
                <xsd:element ref="ns4:OECDProjectManager" minOccurs="0"/>
                <xsd:element ref="ns4:OECDProjectMembers" minOccurs="0"/>
                <xsd:element ref="ns4:OECDMainProject" minOccurs="0"/>
                <xsd:element ref="ns4:OECDPinnedBy" minOccurs="0"/>
                <xsd:element ref="ns2:OECDKimStatus" minOccurs="0"/>
                <xsd:element ref="ns3:TaxCatchAllLabel" minOccurs="0"/>
                <xsd:element ref="ns2:eShareCommitteeTaxHTField0" minOccurs="0"/>
                <xsd:element ref="ns2:eSharePWBTaxHTField0" minOccurs="0"/>
                <xsd:element ref="ns3:OECDCountry_0" minOccurs="0"/>
                <xsd:element ref="ns2:hfa66f2e5af148f08064c2e62791b306" minOccurs="0"/>
                <xsd:element ref="ns4:OECDCommunityDocumentID" minOccurs="0"/>
                <xsd:element ref="ns4:OECDDeliverableManager" minOccurs="0"/>
                <xsd:element ref="ns5:eShareHorizProjTaxHTField0" minOccurs="0"/>
                <xsd:element ref="ns3:TaxCatchAll" minOccurs="0"/>
                <xsd:element ref="ns4:Project_x003a_ID" minOccurs="0"/>
                <xsd:element ref="ns4:Project_x003A_ID1" minOccurs="0"/>
                <xsd:element ref="ns4:OECDSharingStatus" minOccurs="0"/>
                <xsd:element ref="ns3:OECDTopic_0" minOccurs="0"/>
                <xsd:element ref="ns2:OECDYear" minOccurs="0"/>
                <xsd:element ref="ns4:OECDTagsCache" minOccurs="0"/>
                <xsd:element ref="ns2:eShareTopicTaxHTField0" minOccurs="0"/>
                <xsd:element ref="ns4:g48437ce2c3c4c508e6dbb232c223ecb" minOccurs="0"/>
                <xsd:element ref="ns4:OECDCommunityDocumentURL" minOccurs="0"/>
                <xsd:element ref="ns3:OECDKeywords_0" minOccurs="0"/>
                <xsd:element ref="ns2:OECDKimProvenance" minOccurs="0"/>
                <xsd:element ref="ns2:OECDKimBussinessContext" minOccurs="0"/>
                <xsd:element ref="ns3:OECDCommittee_0" minOccurs="0"/>
                <xsd:element ref="ns3:OECDPWB_0" minOccurs="0"/>
                <xsd:element ref="ns5:eShareProjectStructureTaxHTField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4570b9-8831-43f2-b70c-0cad48a8c3b0" elementFormDefault="qualified">
    <xsd:import namespace="http://schemas.microsoft.com/office/2006/documentManagement/types"/>
    <xsd:import namespace="http://schemas.microsoft.com/office/infopath/2007/PartnerControls"/>
    <xsd:element name="OECDMeetingDate" ma:index="4" nillable="true" ma:displayName="Meeting Date" ma:default="" ma:format="DateOnly" ma:hidden="true" ma:internalName="OECDMeetingDate">
      <xsd:simpleType>
        <xsd:restriction base="dms:DateTime"/>
      </xsd:simpleType>
    </xsd:element>
    <xsd:element name="OECDExpirationDate" ma:index="8" nillable="true" ma:displayName="Highlights" ma:default="" ma:format="DateOnly" ma:hidden="true" ma:indexed="true" ma:internalName="OECDExpirationDate" ma:readOnly="false">
      <xsd:simpleType>
        <xsd:restriction base="dms:DateTime"/>
      </xsd:simpleType>
    </xsd:element>
    <xsd:element name="OECDKimStatus" ma:index="16" nillable="true" ma:displayName="Kim status" ma:default="Draft" ma:description="" ma:format="Dropdown" ma:hidden="true" ma:internalName="OECDKimStatus" ma:readOnly="false">
      <xsd:simpleType>
        <xsd:restriction base="dms:Choice">
          <xsd:enumeration value="Draft"/>
          <xsd:enumeration value="Final"/>
        </xsd:restriction>
      </xsd:simpleType>
    </xsd:element>
    <xsd:element name="eShareCommitteeTaxHTField0" ma:index="18" nillable="true" ma:displayName="eShareCommittee_0" ma:description="" ma:hidden="true" ma:internalName="eShareCommitteeTaxHTField0" ma:readOnly="false">
      <xsd:simpleType>
        <xsd:restriction base="dms:Note"/>
      </xsd:simpleType>
    </xsd:element>
    <xsd:element name="eSharePWBTaxHTField0" ma:index="20" nillable="true" ma:displayName="eSharePWB_0" ma:description="" ma:hidden="true" ma:internalName="eSharePWBTaxHTField0" ma:readOnly="false">
      <xsd:simpleType>
        <xsd:restriction base="dms:Note"/>
      </xsd:simpleType>
    </xsd:element>
    <xsd:element name="hfa66f2e5af148f08064c2e62791b306" ma:index="23" nillable="true" ma:displayName="Horizontal project_0" ma:hidden="true" ma:internalName="hfa66f2e5af148f08064c2e62791b306" ma:readOnly="false">
      <xsd:simpleType>
        <xsd:restriction base="dms:Note"/>
      </xsd:simpleType>
    </xsd:element>
    <xsd:element name="OECDYear" ma:index="34" nillable="true" ma:displayName="Year" ma:description="" ma:internalName="OECDYear">
      <xsd:simpleType>
        <xsd:restriction base="dms:Text"/>
      </xsd:simpleType>
    </xsd:element>
    <xsd:element name="eShareTopicTaxHTField0" ma:index="36" nillable="true" ma:displayName="eShareTopic_0" ma:description="" ma:hidden="true" ma:internalName="eShareTopicTaxHTField0" ma:readOnly="false">
      <xsd:simpleType>
        <xsd:restriction base="dms:Note"/>
      </xsd:simpleType>
    </xsd:element>
    <xsd:element name="OECDKimProvenance" ma:index="40" nillable="true" ma:displayName="Kim provenance" ma:description="" ma:hidden="true" ma:internalName="OECDKimProvenance" ma:readOnly="false">
      <xsd:simpleType>
        <xsd:restriction base="dms:Text">
          <xsd:maxLength value="255"/>
        </xsd:restriction>
      </xsd:simpleType>
    </xsd:element>
    <xsd:element name="OECDKimBussinessContext" ma:index="41" nillable="true" ma:displayName="Kim business context" ma:description="" ma:hidden="true" ma:internalName="OECDKimBussinessContex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a82dde9-3436-4d3d-bddd-d31447390034" elementFormDefault="qualified">
    <xsd:import namespace="http://schemas.microsoft.com/office/2006/documentManagement/types"/>
    <xsd:import namespace="http://schemas.microsoft.com/office/infopath/2007/PartnerControls"/>
    <xsd:element name="OECDlanguage" ma:index="5" nillable="true" ma:displayName="Document language" ma:default="English" ma:format="Dropdown" ma:hidden="true" ma:internalName="OECDlanguage" ma:readOnly="false">
      <xsd:simpleType>
        <xsd:restriction base="dms:Choice">
          <xsd:enumeration value="English"/>
          <xsd:enumeration value="French"/>
        </xsd:restriction>
      </xsd:simpleType>
    </xsd:element>
    <xsd:element name="TaxCatchAllLabel" ma:index="17" nillable="true" ma:displayName="Taxonomy Catch All Column1" ma:description="" ma:hidden="true" ma:list="{7332e41c-a27a-4b90-8a39-17b4a0aa2b4d}" ma:internalName="TaxCatchAllLabel" ma:readOnly="false" ma:showField="CatchAllDataLabel" ma:web="c94570b9-8831-43f2-b70c-0cad48a8c3b0">
      <xsd:complexType>
        <xsd:complexContent>
          <xsd:extension base="dms:MultiChoiceLookup">
            <xsd:sequence>
              <xsd:element name="Value" type="dms:Lookup" maxOccurs="unbounded" minOccurs="0" nillable="true"/>
            </xsd:sequence>
          </xsd:extension>
        </xsd:complexContent>
      </xsd:complexType>
    </xsd:element>
    <xsd:element name="OECDCountry_0" ma:index="22" nillable="true" ma:taxonomy="true" ma:internalName="aa366335bba64f7186c6f91b1ae503c2" ma:taxonomyFieldName="OECDCountry" ma:displayName="Country" ma:default="" ma:fieldId="{aa366335-bba6-4f71-86c6-f91b1ae503c2}" ma:taxonomyMulti="true" ma:sspId="27ec883c-a62c-444f-a935-fcddb579e39d" ma:termSetId="e1026e78-e24d-4b33-a8f4-6ff75b8e5ad2" ma:anchorId="00000000-0000-0000-0000-000000000000" ma:open="false" ma:isKeyword="false">
      <xsd:complexType>
        <xsd:sequence>
          <xsd:element ref="pc:Terms" minOccurs="0" maxOccurs="1"/>
        </xsd:sequence>
      </xsd:complexType>
    </xsd:element>
    <xsd:element name="TaxCatchAll" ma:index="27" nillable="true" ma:displayName="Taxonomy Catch All Column" ma:description="" ma:hidden="true" ma:list="{7332e41c-a27a-4b90-8a39-17b4a0aa2b4d}" ma:internalName="TaxCatchAll" ma:readOnly="false" ma:showField="CatchAllData" ma:web="c94570b9-8831-43f2-b70c-0cad48a8c3b0">
      <xsd:complexType>
        <xsd:complexContent>
          <xsd:extension base="dms:MultiChoiceLookup">
            <xsd:sequence>
              <xsd:element name="Value" type="dms:Lookup" maxOccurs="unbounded" minOccurs="0" nillable="true"/>
            </xsd:sequence>
          </xsd:extension>
        </xsd:complexContent>
      </xsd:complexType>
    </xsd:element>
    <xsd:element name="OECDTopic_0" ma:index="33" nillable="true" ma:taxonomy="true" ma:internalName="pb5335f8765c484a86ddd10580650a95" ma:taxonomyFieldName="OECDTopic" ma:displayName="Topic" ma:default="" ma:fieldId="{9b5335f8-765c-484a-86dd-d10580650a95}" ma:taxonomyMulti="true" ma:sspId="27ec883c-a62c-444f-a935-fcddb579e39d" ma:termSetId="d0043ed9-7fdc-4b21-8641-a864cc50d2b2" ma:anchorId="00000000-0000-0000-0000-000000000000" ma:open="false" ma:isKeyword="false">
      <xsd:complexType>
        <xsd:sequence>
          <xsd:element ref="pc:Terms" minOccurs="0" maxOccurs="1"/>
        </xsd:sequence>
      </xsd:complexType>
    </xsd:element>
    <xsd:element name="OECDKeywords_0" ma:index="39" nillable="true" ma:taxonomy="true" ma:internalName="oa7c3663990d467cb1b8bb4b775674ad" ma:taxonomyFieldName="OECDKeywords" ma:displayName="Keywords" ma:default="" ma:fieldId="{8a7c3663-990d-467c-b1b8-bb4b775674ad}" ma:taxonomyMulti="true" ma:sspId="27ec883c-a62c-444f-a935-fcddb579e39d" ma:termSetId="f51791ee-8e04-4654-a875-fc747102cd45" ma:anchorId="00000000-0000-0000-0000-000000000000" ma:open="true" ma:isKeyword="false">
      <xsd:complexType>
        <xsd:sequence>
          <xsd:element ref="pc:Terms" minOccurs="0" maxOccurs="1"/>
        </xsd:sequence>
      </xsd:complexType>
    </xsd:element>
    <xsd:element name="OECDCommittee_0" ma:index="42" nillable="true" ma:taxonomy="true" ma:internalName="i9494d90e66747b5adc1d09dfb5832ab" ma:taxonomyFieldName="OECDCommittee" ma:displayName="Committee" ma:fieldId="{29494d90-e667-47b5-adc1-d09dfb5832ab}" ma:sspId="27ec883c-a62c-444f-a935-fcddb579e39d" ma:termSetId="87919aae-be42-4481-84cf-2389a5c84ac4" ma:anchorId="00000000-0000-0000-0000-000000000000" ma:open="false" ma:isKeyword="false">
      <xsd:complexType>
        <xsd:sequence>
          <xsd:element ref="pc:Terms" minOccurs="0" maxOccurs="1"/>
        </xsd:sequence>
      </xsd:complexType>
    </xsd:element>
    <xsd:element name="OECDPWB_0" ma:index="43" nillable="true" ma:taxonomy="true" ma:internalName="fe327ce1b78348aa9b0b52ad26d1c9f6" ma:taxonomyFieldName="OECDPWB" ma:displayName="PWB" ma:default="" ma:fieldId="{fe327ce1-b783-48aa-9b0b-52ad26d1c9f6}" ma:sspId="27ec883c-a62c-444f-a935-fcddb579e39d" ma:termSetId="7bc7477d-4ef0-4820-a158-bb7b3cda138d"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6f79233-c467-41b3-a389-c101ba401ba7" elementFormDefault="qualified">
    <xsd:import namespace="http://schemas.microsoft.com/office/2006/documentManagement/types"/>
    <xsd:import namespace="http://schemas.microsoft.com/office/infopath/2007/PartnerControls"/>
    <xsd:element name="OECDProjectLookup" ma:index="9" nillable="true" ma:displayName="Project" ma:description="" ma:hidden="true" ma:indexed="true" ma:list="78f48db1-5343-49e8-ab56-e192089a4af7" ma:internalName="OECDProjectLookup" ma:readOnly="false" ma:showField="OECDShortProjectName" ma:web="66f79233-c467-41b3-a389-c101ba401ba7">
      <xsd:simpleType>
        <xsd:restriction base="dms:Lookup"/>
      </xsd:simpleType>
    </xsd:element>
    <xsd:element name="OECDProjectManager" ma:index="10" nillable="true" ma:displayName="Project manager" ma:hidden="true" ma:indexed="true" ma:SearchPeopleOnly="false" ma:SharePointGroup="0" ma:internalName="OECDProject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ECDProjectMembers" ma:index="11" nillable="true" ma:displayName="Project members" ma:hidden="true" ma:SearchPeopleOnly="false" ma:SharePointGroup="0" ma:internalName="OECDProjectMembers"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ECDMainProject" ma:index="14" nillable="true" ma:displayName="Main project" ma:description="" ma:hidden="true" ma:indexed="true" ma:list="78f48db1-5343-49e8-ab56-e192089a4af7" ma:internalName="OECDMainProject" ma:readOnly="false" ma:showField="OECDShortProjectName" ma:web="66f79233-c467-41b3-a389-c101ba401ba7">
      <xsd:simpleType>
        <xsd:restriction base="dms:Lookup"/>
      </xsd:simpleType>
    </xsd:element>
    <xsd:element name="OECDPinnedBy" ma:index="15" nillable="true" ma:displayName="Pinned by" ma:hidden="true" ma:SearchPeopleOnly="false" ma:SharePointGroup="0" ma:internalName="OECDPinnedBy"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ECDCommunityDocumentID" ma:index="24" nillable="true" ma:displayName="O.N.E Community Document ID" ma:decimals="0" ma:hidden="true" ma:internalName="OECDCommunityDocumentID" ma:readOnly="false" ma:percentage="FALSE">
      <xsd:simpleType>
        <xsd:restriction base="dms:Number"/>
      </xsd:simpleType>
    </xsd:element>
    <xsd:element name="OECDDeliverableManager" ma:index="25" nillable="true" ma:displayName="In charge" ma:hidden="true" ma:SearchPeopleOnly="false" ma:SharePointGroup="0" ma:internalName="OECDDeliverableManag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ject_x003a_ID" ma:index="28" nillable="true" ma:displayName="Project:ID" ma:list="{78f48db1-5343-49e8-ab56-e192089a4af7}" ma:internalName="Project_x003A_ID" ma:readOnly="true" ma:showField="ID" ma:web="66f79233-c467-41b3-a389-c101ba401ba7">
      <xsd:simpleType>
        <xsd:restriction base="dms:Lookup"/>
      </xsd:simpleType>
    </xsd:element>
    <xsd:element name="Project_x003A_ID1" ma:index="29" nillable="true" ma:displayName="Project:ID" ma:list="{78f48db1-5343-49e8-ab56-e192089a4af7}" ma:internalName="Project_x003A_ID1" ma:readOnly="true" ma:showField="ID" ma:web="66f79233-c467-41b3-a389-c101ba401ba7">
      <xsd:simpleType>
        <xsd:restriction base="dms:Lookup"/>
      </xsd:simpleType>
    </xsd:element>
    <xsd:element name="OECDSharingStatus" ma:index="31" nillable="true" ma:displayName="O.N.E Document Sharing Status" ma:hidden="true" ma:internalName="OECDSharingStatus" ma:readOnly="false">
      <xsd:simpleType>
        <xsd:restriction base="dms:Text"/>
      </xsd:simpleType>
    </xsd:element>
    <xsd:element name="OECDTagsCache" ma:index="35" nillable="true" ma:displayName="Tags cache" ma:hidden="true" ma:internalName="OECDTagsCache" ma:readOnly="false">
      <xsd:simpleType>
        <xsd:restriction base="dms:Note"/>
      </xsd:simpleType>
    </xsd:element>
    <xsd:element name="g48437ce2c3c4c508e6dbb232c223ecb" ma:index="37" nillable="true" ma:displayName="Project owner_0" ma:hidden="true" ma:internalName="g48437ce2c3c4c508e6dbb232c223ecb" ma:readOnly="false">
      <xsd:simpleType>
        <xsd:restriction base="dms:Note"/>
      </xsd:simpleType>
    </xsd:element>
    <xsd:element name="OECDCommunityDocumentURL" ma:index="38" nillable="true" ma:displayName="O.N.E Community Document URL" ma:hidden="true" ma:internalName="OECDCommunityDocumentURL"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4570b9-8831-43f2-b70c-0cad48a8c3b0" elementFormDefault="qualified">
    <xsd:import namespace="http://schemas.microsoft.com/office/2006/documentManagement/types"/>
    <xsd:import namespace="http://schemas.microsoft.com/office/infopath/2007/PartnerControls"/>
    <xsd:element name="eShareHorizProjTaxHTField0" ma:index="26" nillable="true" ma:taxonomy="true" ma:internalName="eShareHorizProjTaxHTField0" ma:taxonomyFieldName="OECDHorizontalProjects" ma:displayName="Horizontal project" ma:fieldId="{6cde1e3c-9c64-441d-91b9-8b30f378f57c}" ma:taxonomyMulti="true" ma:sspId="27ec883c-a62c-444f-a935-fcddb579e39d" ma:termSetId="d3ca0e0e-65f9-44bf-9d98-5271504f6d61" ma:anchorId="00000000-0000-0000-0000-000000000000" ma:open="false" ma:isKeyword="false">
      <xsd:complexType>
        <xsd:sequence>
          <xsd:element ref="pc:Terms" minOccurs="0" maxOccurs="1"/>
        </xsd:sequence>
      </xsd:complexType>
    </xsd:element>
    <xsd:element name="eShareProjectStructureTaxHTField0" ma:index="45" nillable="true" ma:taxonomy="true" ma:internalName="eShareProjectStructureTaxHTField0" ma:taxonomyFieldName="OECDProjectOwnerStructure" ma:displayName="Project owner" ma:fieldId="{5af043ef-c550-4d56-93f7-06d41863d273}" ma:taxonomyMulti="true" ma:sspId="27ec883c-a62c-444f-a935-fcddb579e39d" ma:termSetId="aeec4dcb-19ee-4bc0-941f-681845b568c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6"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ValidationMessages xmlns="http://www.oecd.org/one.check/2016/validation/messages" Version="1.80.1.0">
  <!-- Cover Page Augmentation Errors -->
  <ValidationMessage>
    <Id>1</Id>
    <Code>InvalidCoverPage</Code>
    <Title>The cover page is invalid.</Title>
    <Text>Please reinsert the cover page. Go to the Insert tab, Cover Page and choose an appropriate OECD cover page. Note: any information in the Meeting Information, Information Note and Contacts fields will not be kept. We recommend copying any text present in these fields and pasting it into Notepad.</Text>
  </ValidationMessage>
  <ValidationMessage>
    <Id>2</Id>
    <Code>IncompatibleCoteClassification</Code>
    <Title>The document classification is not compatible with the document cote.</Title>
    <Text>Please modify either the classification or cote via the cover page.</Text>
  </ValidationMessage>
  <ValidationMessage>
    <Id>3</Id>
    <Code>MandatoryLanguage</Code>
    <Title>Document language is mandatory.</Title>
    <Text>Please go to the cover page and choose the document language.</Text>
  </ValidationMessage>
  <ValidationMessage>
    <Id>4</Id>
    <Code>MandatoryCote</Code>
    <Title>Document cote is mandatory.</Title>
    <Text>Please go to the cover page and enter a cote for your document.</Text>
  </ValidationMessage>
  <ValidationMessage>
    <Id>5</Id>
    <Code>CoteHasInvalidSuffix</Code>
    <Title>Cote validation error.</Title>
    <Text>Cote contains an invalid suffix.</Text>
  </ValidationMessage>
  <ValidationMessage>
    <Id>6</Id>
    <Code>IncompleteCoverPage</Code>
    <Title>Some fields are missing on the cover page.</Title>
    <Text><![CDATA[Please reinsert the cover page <b>without</b> removing the existing cover page. Go to the Insert tab, Cover Page and choose an appropriate OECD cover page. <br/><br/> Note: any information in the Meeting Information, Information Note and Contacts fields will not be kept. We therefore recommend taking a copy of any text present in those fields <b>before</b> reinserting the cover page. When you paste the text back into the cover page fields, it is important to choose the "Paste Text Only" option. See the tip <a href='https://community.oecd.org/thread/22737' target='_blank'>here</a>.]]></Text>
  </ValidationMessage>
  <ValidationMessage>
    <Id>7</Id>
    <Code>MandatoryClassification</Code>
    <Title>Classification is mandatory.</Title>
    <Text>Please go to the cover page and choose the appropriate classification for your document.</Text>
  </ValidationMessage>
  <!-- Cover Page Check Errors -->
  <ValidationMessage>
    <Id>8</Id>
    <Code>InvalidClassificationLanguage</Code>
    <Title>The document classification does not match the document language.</Title>
    <Text>Please go to the cover page and select an appropriate classification for the language of your document.</Text>
  </ValidationMessage>
  <ValidationMessage>
    <Id>9</Id>
    <Code>MandatoryTitle</Code>
    <Title>Document title is mandatory.</Title>
    <Text><![CDATA[Please enter a title in the Title field on the cover page. If you already see your title, you have probably accidentally overwritten the Title field. In this case, please follow the instructions below. <br/><br/>Please reinsert the cover page <b>without</b> removing the existing cover page. Go to the Insert tab, Cover Page and choose an appropriate OECD cover page. <br/><br/> Note: any information in the Meeting Information, Information Note and Contacts fields will not be kept. We therefore recommend taking a copy of any text present in those fields <b>before</b> reinserting the cover page. When you paste the text back into the cover page fields, it is important to choose the "Paste Text Only" option. See the tip <a href='https://community.oecd.org/thread/22737' target='_blank'>here</a>.]]></Text>
  </ValidationMessage>
  <!-- Cote Errors -->
  <ValidationMessage>
    <Id>12</Id>
    <Code>CoteInFuture</Code>
    <Title>An invalid cote has been found.</Title>
    <Text>The year of a document cote cannot be more than 3 years in the future.</Text>
  </ValidationMessage>
  <ValidationMessage>
    <Id>13</Id>
    <Code>CoteNotInOlis</Code>
    <Title>A hyperlink has been created for a document cote that does not yet exist on O.N.E.</Title>
    <Text><![CDATA[Please verify the cote and <a href='https://support.office.com/en-US/article/Remove-or-turn-off-hyperlinks-027b4e8c-38f8-432c-b57f-6c8b67ebe3b0' target='_blank'>remove the hyperlink </a> if appropriate. If you leave the link it will be functional once that document cote becomes available on O.N.E&nbsp;Search.]]></Text>
  </ValidationMessage>
  <ValidationMessage>
    <Id>14</Id>
    <Code>CoteNotValid</Code>
    <Title>An invalid cote has been found in the document.</Title>
    <Text>{0}</Text>
  </ValidationMessage>
  <ValidationMessage>
    <Id>15</Id>
    <Code>CoteInvalidButInOlis</Code>
    <Title>A hyperlink has been created for a document cote that is no longer valid.</Title>
    <Text>Typically this means that the particular cote syntax existed in the past. The hyperlink will still go to the corresponding document.</Text>
  </ValidationMessage>
  <!-- Structural Checks -->
  <ValidationMessage>
    <Id>16</Id>
    <Code>HeadingLevelInvalid</Code>
    <Title>Heading styles must follow a logical order and start with Heading 1.</Title>
    <Text>It is important to use heading styles in a logical order without skipping levels to avoid errors in the numbering or subsequent back-office publishing processes.</Text>
  </ValidationMessage>
  <ValidationMessage>
    <Id>161</Id>
    <Code>TitleLevelInvalid</Code>
    <Title>Title styles must follow a logical order and start with Title 1.</Title>
    <Text>It is important to use title styles in a logical order without skipping levels to avoid errors in the numbering or subsequent back-office publishing processes.</Text>
  </ValidationMessage>
  <ValidationMessage>
    <Id>17</Id>
    <Code>ExceutiveSummaryMissing</Code>
    <Title>You do not have an Executive Summary in your publication.</Title>
    <Text>All OECD publications must contain an Executive Summary. The "Title" style should be used for the title of your Executive Summary.</Text>
  </ValidationMessage>
  <ValidationMessage>
    <Id>18</Id>
    <Code>InvalidPart</Code>
    <Title>There should be no content between a part and a chapter.</Title>
    <Text>Any content placed between a part and a chapter will be ignored in subsequent publishing processes.”</Text>
  </ValidationMessage>
  <ValidationMessage>
    <Id>19</Id>
    <Code>MandatoryCaptionStyle</Code>
    <Title>The "Caption" style must be used for a {0} title.</Title>
    <Text><![CDATA[This makes numbering automatic and allows you to generate a table of figures and insert <a href='https://support.office.com/en-US/article/Create-a-cross-reference-300b208c-e45a-487a-880b-a02767d9774b' target='_blank'>cross-references</a>. Publishing processes also rely on the use of the "Caption" style. Tip: The "Caption" style will be inserted automatically if you insert your figure via Quick Parts!]]></Text>
  </ValidationMessage>
  <ValidationMessage>
    <Id>20</Id>
    <Code>NoCrossReference</Code>
    <Title>No cross-references have been used in this document.</Title>
    <Text><![CDATA[You can read about the benefits of using cross-references <a href='https://support.office.com/en-US/article/Create-a-cross-reference-300b208c-e45a-487a-880b-a02767d9774b' target='_blank'>here</a>.]]></Text>
  </ValidationMessage>
  <!-- Formatting Checks -->
  <ValidationMessage>
    <Id>21</Id>
    <Code>StyleNotInTemplate</Code>
    <Title><![CDATA[Please use the O.N.E&nbsp;Author styles]]></Title>
    <Text><![CDATA[An incorrect style has been identified:<br><font color='darkred'>{0}</font><br>Please correct this by applying the appropriate O.N.E&nbsp;Author style. Consult the style cheat sheet in the <a href='https://community.oecd.org/docs/DOC-126051' target='_blank'>Quick Reference Guide</a>.<br>You can also use Word’s find and replace feature to look for all instances of a particular style and replace it with another: see <a href='https://community.oecd.org/thread/22785' target='_blank'>tip</a>.]]></Text>
  </ValidationMessage>
  <ValidationMessage>
    <Id>22</Id>
    <Code>FormatNotA4</Code>
    <Title>The paper size must be set to A4.</Title>
    <Text><![CDATA[If the paper size is not set to A4 it can generate errors when printing paper copies. See <a href='https://support.office.com/en-IE/article/Page-Setup-Paper-options-369f13ef-3137-42d3-a077-3f3291eb4657' target='_blank'>here</a> for details on how to change this setting.]]></Text>
  </ValidationMessage>
  <!--Document Submit Errors-->
  <ValidationMessage>
    <Id>231</Id>
    <Code>DocumentPdfExportError</Code>
    <Title>Pdf could not be generated.</Title>
    <Text>The Pdf export of the document could not be done. You will not be able to submit the document.</Text>
  </ValidationMessage>
  <ValidationMessage>
    <Id>23</Id>
    <Code>SubmitErrorHasComments</Code>
    <Title>Your document contains comments.</Title>
    <Text><![CDATA[It is not possible to submit a document containing comments. Please return to your document and <a href='https://support.office.com/en-US/article/Insert-or-delete-a-comment-8D3F868A-867E-4DF2-8C68-BF96671641E2#bm2' target='_blank'>delete all comments </a> before submitting.]]></Text>
  </ValidationMessage>
  <ValidationMessage>
    <Id>24</Id>
    <Code>SubmitInfoTrackChanges</Code>
    <Title>This document contains track changes.</Title>
    <Text>Track changes are accepted in documents with “/REV”, “/RD”, or “/WD” in the cote.</Text>
  </ValidationMessage>
  <ValidationMessage>
    <Id>25</Id>
    <Code>SubmitErrorTrackChangesOfficialDocument</Code>
    <Title>This document contains track changes.</Title>
    <Text>Track changes are only accepted in documents with “/REV”, “/RD”, or “/WD” in the cote. Please accept or reject all changes before submitting your document.</Text>
  </ValidationMessage>
  <ValidationMessage>
    <Id>26</Id>
    <Code>SubmitErrorTrackChangesPublication</Code>
    <Title>This document contains track changes.</Title>
    <Text>Track changes are not allowed in a Publication..</Text>
  </ValidationMessage>
  <ValidationMessage>
    <Id>27</Id>
    <Code>SubmitErrorExternalObjects</Code>
    <Title>It is not possible to submit a document containing links to external source files e.g. Excel files or images.</Title>
    <Text>To break the links go to File, Info, "Edit Links to Files" located at the bottom right corner of the screen, select relevant links and click Break Link. This will avoid issues at a later stage during printing or publishing processes.</Text>
  </ValidationMessage>
  <!-- General Errors -->
  <ValidationMessage>
    <Id>28</Id>
    <Code>Default</Code>
    <Title>Element not validated.</Title>
    <Text>(Default anomaly)</Text>
  </ValidationMessage>
  <ValidationMessage>
    <Id>29</Id>
    <Code>Offline</Code>
    <Title>You are not connected to an internal network i.e. OECD/IEA/NEA/ITF.</Title>
    <Text>Only a partial validation of your document will be performed. Please rerun the document validation once you are connected to the appropriate  OECD network.</Text>
  </ValidationMessage>
  <ValidationMessage>
    <Id>30</Id>
    <Code>ServiceUnavailable</Code>
    <Title>{0} cannot be executed due to the unavailability of an external web service.</Title>
    <Text><![CDATA[Unfortunately, it is not possible to run the document validation right now. Please contact the <a href='mailto:ServiceDesk@oecd.org?subject=O.N.E%20Author%20issue'>Service&nbsp;Desk</a>.]]></Text>
  </ValidationMessage>
  <ValidationMessage>
    <Id>31</Id>
    <Code>InvalidTemplate</Code>
    <Title>It is not possible to run the validation function.</Title>
    <Text><![CDATA[The validation function is only available when working in a O.N.E&nbsp;Author document.]]></Text>
  </ValidationMessage>
  <ValidationMessage>
    <Id>32</Id>
    <Code>Document Save Error</Code>
    <Title>An error occurred while attempting to save the document.</Title>
    <Text><![CDATA[The document cannot be saved right now. Please contact the <a href='mailto:ServiceDesk@oecd.org?subject=O.N.E%20Author%20issue'>Service&nbsp;Desk</a>.]]></Text>
  </ValidationMessage>
  <!-- Document Updates -->
  <ValidationMessage>
    <Id>33</Id>
    <Code>TableOfContentsUpdated</Code>
    <Title>{0} table(s) of Contents have been updated.</Title>
    <Text>The tables of Contents present in your document have been automatically updated during the validation process.</Text>
  </ValidationMessage>
  <ValidationMessage>
    <Id>34</Id>
    <Code>FieldsUpdated</Code>
    <Title>{0} document Field(s) have been updated.</Title>
    <Text>The document Fields present in your document have been automatically updated during the validation process.</Text>
  </ValidationMessage>
  <ValidationMessage>
    <Id>35</Id>
    <Code>TableOfFiguresUpdated</Code>
    <Title>{0} table(s) of Figures have been updated.</Title>
    <Text>The tables of Figures (Tables, Figures, Boxes) present in your document have been automatically updated during the validation process.</Text>
  </ValidationMessage>
  <!-- Document Process Error -->
  <ValidationMessage>
    <Id>36</Id>
    <Code>CoverPageUpdateError</Code>
    <Title>An error occurred while attempting to update the cover page.</Title>
    <Text><![CDATA[Unfortunately the cover page of your document cannot be updated right now. Please contact the <a href='mailto:ServiceDesk@oecd.org?subject=O.N.E%20Author%20issue'>Service&nbsp;Desk</a>.]]></Text>
  </ValidationMessage>
  <ValidationMessage>
    <Id>37</Id>
    <Code>DocumentUpdateError</Code>
    <Title>An error occurred while attempting to update the document.</Title>
    <Text><![CDATA[Unfortunately your document cannot be updated (TOC and document fields) right now. Please contact the <a href='mailto:ServiceDesk@oecd.org?subject=O.N.E%20Author%20issue'>Service&nbsp;Desk</a>.]]></Text>
  </ValidationMessage>
  <ValidationMessage>
    <Id>38</Id>
    <Code>DocumentCotesUpdateError</Code>
    <Title>An error occurred while attempting to update the cotes of the document.</Title>
    <Text><![CDATA[Unfortunately the cotes present in your document cannot be updated right now. Please contact the <a href='mailto:ServiceDesk@oecd.org?subject=O.N.E%20Author%20issue'>Service&nbsp;Desk</a>.]]></Text>
  </ValidationMessage>
  <ValidationMessage>
    <Id>39</Id>
    <Code>CoverPageValidationError</Code>
    <Title>An error occurred while attempting to update the cover page of the document.</Title>
    &amp;body={0}
    <Text><![CDATA[Unfortunately the cover page of your document cannot be validated right now. Please contact the <a href='mailto:ServiceDesk@oecd.org?subject=O.N.E%20Author%20issue'>Service&nbsp;Desk</a>.]]></Text>
  </ValidationMessage>
  <ValidationMessage>
    <Id>40</Id>
    <Code>DocumentValidationError</Code>
    <Title>An error occurred while attempting to validate the document.</Title>
    <Text><![CDATA[Unfortunately your document cannot be validated right now. Please contact the <a href='mailto:ServiceDesk@oecd.org?subject=O.N.E%20Author%20issue'>Service&nbsp;Desk</a>.]]></Text>
  </ValidationMessage>
  <ValidationMessage>
    <Id>41</Id>
    <Code>DocumentProcessingError</Code>
    <Title>An error occurred while attempting to process the document.</Title>
    <Text><![CDATA[Unfortunately your document cannot be processed right now. Please contact the <a href='mailto:ServiceDesk@oecd.org?subject=O.N.E%20Author%20issue'>Service&nbsp;Desk</a>.]]></Text>
  </ValidationMessage>
  <ValidationMessage>
    <Id>42</Id>
    <Code>ErrorDocumentIsAlreadySubmitted</Code>
    <Title>Document is already submitted.</Title>
    <Text>This document has already been submitted. Please revalidate the cote and language.</Text>
  </ValidationMessage>
  <ValidationMessage>
    <Id>43</Id>
    <Code>ErrorDocumentSubmission</Code>
    <Title>Document submission error.</Title>
    <Text>Unable to submit document. Error: {0}</Text>
  </ValidationMessage>
  <ValidationMessage>
    <Id>44</Id>
    <Code>CoteFormatInvalid</Code>
    <Title>Incorrect cote format or not a cote.</Title>
    <Text>Typically this means that the particular cote syntax existed in the past. The hyperlink will still go to the corresponding document.</Text>
  </ValidationMessage>
  <ValidationMessage>
    <Id>45</Id>
    <Code>CoteInvalidMatchLinkAndText</Code>
    <Title>Cote link text does not match link address.</Title>
    <Text>Typically this means that link address is correct, but the cote syntax is incorrect.</Text>
  </ValidationMessage>
  <!-- transformation messages -->
  <ValidationMessage>
    <Id>46</Id>
    <Code>TransformationMsg</Code>
    <Title>Info</Title>
    <Text>(Default anomaly)</Text>
  </ValidationMessage>
  <ValidationMessage>
    <Id>47</Id>
    <Code>TransformationErrorDocumentNull</Code>
    <Title>Document transformation error</Title>
    <Text>An internal error occurred: the document is null.</Text>
  </ValidationMessage>
  <ValidationMessage>
    <Id>48</Id>
    <Code>TransformationErrorDocumentLanguage</Code>
    <Title>Document transformation error</Title>
    <Text>Sorry, your current document language is not handled.</Text>
  </ValidationMessage>
  <ValidationMessage>
    <Id>49</Id>
    <Code>TransformationErrorSaveDocument</Code>
    <Title>Document transformation error</Title>
    <Text>Could not save a copy of the document in the target language.</Text>
  </ValidationMessage>
  <ValidationMessage>
    <Id>50</Id>
    <Code>TransformationErrorCoverPageLanguage</Code>
    <Title>Document transformation error</Title>
    <Text>Failed to set the document cover page language.</Text>
  </ValidationMessage>
  <ValidationMessage>
    <Id>51</Id>
    <Code>TransformationErrorCoverPageClassification</Code>
    <Title>Document transformation error</Title>
    <Text>Failed to set the document cover page classification.</Text>
  </ValidationMessage>
  <ValidationMessage>
    <Id>52</Id>
    <Code>TransformationErrorDocumentContentLanguage</Code>
    <Title>Document transformation error</Title>
    <Text>Failed to set the document content language.</Text>
  </ValidationMessage>
  <ValidationMessage>
    <Id>53</Id>
    <Code>TranslationFields</Code>
    <Title>Translation: fields</Title>
    <Text>(Default anomaly)</Text>
  </ValidationMessage>
  <ValidationMessage>
    <Id>54</Id>
    <Code>TranslationContentControls</Code>
    <Title>Translation: content controls</Title>
    <Text>(Default anomaly)</Text>
  </ValidationMessage>
  <ValidationMessage>
    <Id>55</Id>
    <Code>TranslationTitles</Code>
    <Title>Translation: titles</Title>
    <Text>(Default anomaly)</Text>
  </ValidationMessage>
  <ValidationMessage>
    <Id>56</Id>
    <Code>TranslationLists</Code>
    <Title>Translation: multi-level lists</Title>
    <Text>(Default anomaly)</Text>
  </ValidationMessage>
  <ValidationMessage>
    <Id>57</Id>
    <Code>TranslationBibliography</Code>
    <Title>Document transformation, bibliography translation</Title>
    <Text>Either no bibliography sources found or invalid target language specified.</Text>
  </ValidationMessage>
  <ValidationMessage>
    <Id>58</Id>
    <Code>TranslationText</Code>
    <Title>Translation: text</Title>
    <Text>(Default anomaly)</Text>
  </ValidationMessage>
  <ValidationMessage>
    <Id>59</Id>
    <Code>TranslationBibliographyResults</Code>
    <Title>Document transformation, bibliography translation</Title>
    <Text>
      {0} external citations have been found and cannot be translated.&lt;br&gt;
      {1} OECD citations have been found and {2} have been translated.
    </Text>
  </ValidationMessage>
  <!-- cote enrichment messages -->
  <ValidationMessage>
    <Id>60</Id>
    <Code>FcRootCoteInvalid</Code>
    <Title>Cote validation error.</Title>
    <Text>Root cote does not exists.</Text>
  </ValidationMessage>
  <ValidationMessage>
    <Id>61</Id>
    <Code>FcCoteSyntaxInvalid_Empty</Code>
    <Title>Document cote is mandatory.</Title>
    <Text>Please go to the cover page and enter a cote for your document.</Text>
  </ValidationMessage>
  <ValidationMessage>
    <Id>62</Id>
    <Code>FcCoteSyntaxInvalid_EmptySuffix</Code>
    <Title>Document cote is invalid.</Title>
    <Text>Please go to the cover page and enter a valid cote for your document. Information on what constitutes a valid cote can be found here.</Text>
  </ValidationMessage>
  <ValidationMessage>
    <Id>63</Id>
    <Code>FcCoteSyntaxInvalid_InvalidSubstring</Code>
    <Title>Cote validation error.</Title>
    <Text>Cote contains an invalid substring -- "//", "((", "))", "/(", ")/", ".", or "-".</Text>
  </ValidationMessage>
  <ValidationMessage>
    <Id>64</Id>
    <Code>FcCoteSyntaxInvalid_LowerCase</Code>
    <Title>Cote validation error.</Title>
    <Text>Cote contains lower case letters.</Text>
  </ValidationMessage>
  <ValidationMessage>
    <Id>65</Id>
    <Code>FcCoteSyntaxInvalid_NotEnoughParts</Code>
    <Title>Cote validation error.</Title>
    <Text>Cote is too short. It must contain a root, a year in parentheses and a serial number.</Text>
  </ValidationMessage>
  <ValidationMessage>
    <Id>66</Id>
    <Code>FcCoteSyntaxInvalid_NumberInvalidInt</Code>
    <Title>Cote validation error.</Title>
    <Text>Cote serial number is not a single, valid integer.</Text>
  </ValidationMessage>
  <ValidationMessage>
    <Id>67</Id>
    <Code>FcCoteSyntaxInvalid_NumberTooSmall</Code>
    <Title>Cote validation error.</Title>
    <Text>Cote serial number must be greater than 0.</Text>
  </ValidationMessage>
  <ValidationMessage>
    <Id>68</Id>
    <Code>FcCoteSyntaxInvalid_TrailingSlash</Code>
    <Title>Cote validation error.</Title>
    <Text>Cote ends with a slash.</Text>
  </ValidationMessage>
  <ValidationMessage>
    <Id>69</Id>
    <Code>FcCoteSyntaxInvalid_YearDigitCount</Code>
    <Title>Cote validation error.</Title>
    <Text>Years before 2000 must be written with 2 digits, and years from 2000 on with all 4 digits.</Text>
  </ValidationMessage>
  <ValidationMessage>
    <Id>70</Id>
    <Code>FcCoteSyntaxInvalid_YearInvalidInt</Code>
    <Title>Cote validation error.</Title>
    <Text>Cote year is not a valid integer.</Text>
  </ValidationMessage>
  <ValidationMessage>
    <Id>71</Id>
    <Code>FcCoteSyntaxInvalid_YearTooEarly</Code>
    <Title>Cote validation error.</Title>
    <Text>Cote year is before 1990. These documents are not available on OLIS.</Text>
  </ValidationMessage>
  <ValidationMessage>
    <Id>72</Id>
    <Code>FcCoteSyntaxInvalid_YearTooEarlySubmission</Code>
    <Title>Cote validation error.</Title>
    <Text>Documents cannot be submitted with a cote year more than 1 year in the future.</Text>
  </ValidationMessage>
  <ValidationMessage>
    <Id>73</Id>
    <Code>FcCoteValidationError</Code>
    <Title>Cote validation error.</Title>
    <Text>The cote you have entered is not valid. The error returned from the server is: {0}</Text>
  </ValidationMessage>
  <!-- end of cote enrichment messages -->
  <ValidationMessage>
    <Id>75</Id>
    <Code>DocumentSaveError</Code>
    <Title>Please save your document.</Title>
    <Text>Please save your document before running the document validation.</Text>
  </ValidationMessage>
  <ValidationMessage>
    <Id>76</Id>
    <Code>ValidationInternalError</Code>
    <Title>Validation internal error</Title>
    <Text>An internal error occurred while running validation</Text>
  </ValidationMessage>
  <ValidationMessage>
    <Id>77</Id>
    <Code>TransformationErrorSetDisclaimer</Code>
    <Title>Document transformation error</Title>
    <Text>Failed to set the document disclaimer language.</Text>
  </ValidationMessage>
  <ValidationMessage>
    <Id>78</Id>
    <Code>SubmitErrorServiceUnavailable</Code>
    <Title>Document submission is not possible currently</Title>
    <Text>Document submission is not possible at moment as service are not available.</Text>
  </ValidationMessage>
  <ValidationMessage>
    <Id>79</Id>
    <Code>TransformationErrorCoverPageOrgName</Code>
    <Title>Document transformation error</Title>
    <Text>Failed to set the document cover page organization name.</Text>
  </ValidationMessage>
  <ValidationMessage>
    <Id>80</Id>
    <Code>TransformationErrorCoverPageLogo</Code>
    <Title>Document transformation error</Title>
    <Text>Failed to replace the document cover page logo.</Text>
  </ValidationMessage>
  <ValidationMessage>
    <Id>81</Id>
    <Code>CoteContainsSummaryRecordsOrAgendaPrefix</Code>
    <Title>Document code corresponds to an agenda [../A] or summary records [../M]</Title>
    <Text><![CDATA[Please correct the document code on the cover page or use the dedicated O.N.E&nbsp;Author Agenda/Summary Records template.]]></Text>
  </ValidationMessage>
  <ValidationMessage>
    <Id>82</Id>
    <Code>CoteDoesNotContainSummaryRecordsOrAgendaPrefix</Code>
    <Title>Document code does not correspond to an agenda [../A] or summary records [../M]</Title>
    <Text>Please correct the document code on the cover page.</Text>
  </ValidationMessage>
  <ValidationMessage>
    <Id>83</Id>
    <Code>FrontMatterHeadingHierarchyInvalid</Code>
    <Title>The front matter (preliminary pages) of your document does not respect the OECD Style Guide</Title>
    <Text><![CDATA[All OECD publications must contain an Executive Summary and a Foreword title. Please make sure that you’ve used the style Title for these sections. If this is the case in your document, the error is probably due to the order of your front matter: you can check the correct order <a href='https://community.oecd.org/docs/DOC-126051' target='_blank'>here</a> .]]></Text>
  </ValidationMessage>
  <ValidationMessage>
    <Id>84</Id>
    <Code>FcCoteSyntaxInvalid_YearTooEarlyReference</Code>
    <Title>An invalid cote has been found.</Title>
    <Text>The year of a document cote cannot be more than 3 years in the future.</Text>
  </ValidationMessage>
  <ValidationMessage>
    <Id>85</Id>
    <Code>TransformationErrorUnableToOpen</Code>
    <Title>Document transformation error</Title>
    <Text>Unable to open source document. An internal error occurred: the document is null.</Text>
  </ValidationMessage>
  <ValidationMessage>
    <Id>86</Id>
    <Code>AEImportErrorImportNotSupported</Code>
    <Title>AE document import error</Title>
    <Text>This is not document created by AE. Import of the document is not supported</Text>
  </ValidationMessage>
  <ValidationMessage>
    <Id>87</Id>
    <Code>AEImportErrorCleanUpFailed</Code>
    <Title>AE document import error</Title>
    <Text>AE document preparation failed</Text>
  </ValidationMessage>
  <ValidationMessage>
    <Id>88</Id>
    <Code>AEImportPagesCopied</Code>
    <Title>Content copied</Title>
    <Text>{0} pages copied</Text>
  </ValidationMessage>
  <ValidationMessage>
    <Id>89</Id>
    <Code>AEImportCopyFailed</Code>
    <Title>Failed to copy a document part</Title>
    <Text>Please review and copy content manually</Text>
  </ValidationMessage>
  <ValidationMessage>
    <Id>90</Id>
    <Code>TitleTooLong</Code>
    <Title>The document title in the footer has been hidden</Title>
    <Text>This is because it spans more than one line. Where possible, please reduce the length of the document title so that it fits on one line in the footer</Text>
  </ValidationMessage>
  <ValidationMessage>
    <Id>91</Id>
    <Code>AEImportTableOrBoxCopyFailed</Code>
    <Title>Failed to copy a {0}</Title>
    <Text>Please review and copy a {0} manually</Text>
  </ValidationMessage>
  <ValidationMessage>
    <Id>92</Id>
    <Code>MandatoryBilingualTitles</Code>
    <Title>Document title is mandatory in both languages</Title>
    <Text>You have used a bilingual cover page. There are two separate fields for the English and French document titles. Please make sure that both fields are complete. The same applies for the subtitle fields: if the English subtitle field is complete, the French subtitle field must also be complete and vice versa.</Text>
  </ValidationMessage>
  <ValidationMessage>
    <Id>94</Id>
    <Code>AEImportTitleMissing</Code>
    <Title>Failed to detect title</Title>
    <Text>Please review and correct it</Text>
  </ValidationMessage>
  <ValidationMessage>
    <Id>93</Id>
    <Code>HeaderFooterRecoveryFailed</Code>
    <Title><![CDATA[Non O.N.E&nbsp;Author header or footer]]></Title>
    <Text><![CDATA[Non O.N.E&nbsp;Author header or footer was found in document. Automatic recovery failed.]]></Text>
  </ValidationMessage>
  <ValidationMessage>
    <Id>95</Id>
    <Code>AEImportTablePicture</Code>
    <Title>Picture with table title</Title>
    <Text>Please review and correct it</Text>
  </ValidationMessage>
  <ValidationMessage>
    <Id>96</Id>
    <Code>UnclassifiedNoLinks</Code>
    <Title>Document codes (cotes) have not been hyperlinked</Title>
    <Text>This is because the document classification is unclassified.</Text>
  </ValidationMessage>
  <ValidationMessage>
    <Id>97</Id>
    <Code>DocumentNotValid</Code>
    <Title>Document not valid</Title>
    <Text>Document validation failed: {0}</Text>
  </ValidationMessage>
  <ValidationMessage>
    <Id>98</Id>
    <Code>SubmitErrorFileServerUnavailable</Code>
    <Title>Document submission is not possible currently</Title>
    <Text><![CDATA[This may be because the file server required to submit your document is unavailable. Please contact the <a href='mailto:ServiceDesk@oecd.org?subject=O.N.E%20Author%20issue'>Service&nbsp;Desk</a> and ask them to contact the server team to check the following location: {0}.]]></Text>
  </ValidationMessage>
  <ValidationMessage>
    <Id>99</Id>
    <Code>MasterDocumentWarning</Code>
    <Title>Fields have not been updated</Title>
    <Text>Fields (e.g. citations, table/figure/box numbering, cross-references) have not been updated as this is a master document. A master document is intended to aggregate several subdocuments. Changes should be made in the subdocuments.</Text>
  </ValidationMessage>
  <ValidationMessage>
    <Id>100</Id>
    <Code>RerunQualityChecks</Code>
    <Title>Rerun quality checks</Title>
    <Text>There have been changes made to your document. Please rerun the Quality Checks. The Submit your document button will then be available.</Text>
  </ValidationMessage>
  <ValidationMessage>
    <Id>101</Id>
    <Code>DocumentCotesValidationServiceError</Code>
    <Title>Document service error</Title>
    <Text><![CDATA[Due to the unavailability of the service named DLP, it is not possible to submit your document at this moment. Please ensure that your network connection is working. <br/><br/>If the problem persists, please contact the <a href='mailto:ServiceDesk@oecd.org?subject=O.N.E%20Author%20issue'>Service&nbsp;Desk</a>.]]></Text>
  </ValidationMessage>
  <ValidationMessage>
    <Id>102</Id>
    <Code>SrpServiceError</Code>
    <Title>Submission service error</Title>
    <Text><![CDATA[Due to the unavailability of the service named SRP, it is not possible to submit your document at this moment. Please ensure that your network connection is working. <br/><br/>If the problem persists, please contact the <a href='mailto:ServiceDesk@oecd.org?subject=O.N.E%20Author%20issue'>Service&nbsp;Desk</a>.]]></Text>
  </ValidationMessage>
  <ValidationMessage>
    <Id>103</Id>
    <Code>DocumentValidationOnSubmitError</Code>
    <Title>DLP submission error</Title>
    <Text><![CDATA[An error occurred during the document loading process (DLP) in O.N.E members & partners. Unfortunately it is not possible to submit your document at this time.{0}Please rerun the Quality Checks and submit your document again.<br/><br/>If the problem persists, please contact the <a href='mailto:ServiceDesk@oecd.org?subject=O.N.E%20Author%20issue'>Service&nbsp;Desk</a>.]]></Text>
  </ValidationMessage>
  <ValidationMessage>
    <Id>105</Id>
    <Code>CreatedMasterPDF</Code>
    <Title>Master PDFs have been created</Title>
    <Text><![CDATA[The PDF files have been successfully generated by the server. You can use the PDF/O when sharing the file and the PDF/X for high-quality printing.<br><a class='pdflink' href='{1}'>{0}</a><br><a class='pdflink' href='{3}'>{2}</a><br>Location: '{4}']]></Text>
  </ValidationMessage>
  <ValidationMessage>
    <Id>106</Id>
    <Code>MasterPDFCreationFailed</Code>
    <Title>Unable to create master PDF</Title>
    <Text><![CDATA[This probably means that the subdocuments have not been prepared according to the guidance <a href='https://community.oecd.org/docs/DOC-132746'  target='_blank'>here</a>. If you continue to experience difficulties, please contact the <a href='mailto:ServiceDesk@oecd.org?subject=O.N.E%20Author%20issue' >Service&nbsp;Desk</a>.]]></Text>
  </ValidationMessage>
  <ValidationMessage>
    <Id>107</Id>
    <Code>CreatedMasterPDFWord</Code>
    <Title>Master PDF has been created</Title>
    <Text><![CDATA[A PDF file has been successfully generated. However, the server timed out when trying to produce the PDF/X format necessary for high-quality printing. If you require a PDF/X, please try to create the master PDF again.<br><a class='pdflink' href='{1}'>{0}</a><br>Location: '{2}']]></Text>
  </ValidationMessage>
  <ValidationMessage>
    <Id>108</Id>
    <Code>AEImportErrorHyperlinkRemovalFailed</Code>
    <Title>AE document import error</Title>
    <Text>Hyperlinks removal failed</Text>
  </ValidationMessage>
</ValidationMessages>
</file>

<file path=customXml/item9.xml><?xml version="1.0" encoding="utf-8"?>
<?mso-contentType ?>
<CtFieldPriority xmlns="http://www.oecd.org/eshare/projectsentre/CtFieldPriority/" xmlns:i="http://www.w3.org/2001/XMLSchema-instance">
  <PriorityFields xmlns:a="http://schemas.microsoft.com/2003/10/Serialization/Arrays">
    <a:string>Title</a:string>
    <a:string>OECDCountry</a:string>
    <a:string>OECDTopic</a:string>
    <a:string>OECDKeywords</a:string>
  </PriorityFields>
</CtFieldPriority>
</file>

<file path=customXml/item10.xml><?xml version="1.0" encoding="utf-8"?>
<b:Sources xmlns:b="http://schemas.openxmlformats.org/officeDocument/2006/bibliography" xmlns="http://schemas.openxmlformats.org/officeDocument/2006/bibliography" SelectedStyle="\oecd-en.xsl" StyleName="OECD English" Version="6"/>
</file>

<file path=customXml/itemProps1.xml><?xml version="1.0" encoding="utf-8"?>
<ds:datastoreItem xmlns:ds="http://schemas.openxmlformats.org/officeDocument/2006/customXml" ds:itemID="{29A1B1BE-C624-4E1C-A3A0-D691A15ED3D1}">
  <ds:schemaRefs>
    <ds:schemaRef ds:uri="http://schemas.microsoft.com/sharepoint/v3/contenttype/forms"/>
  </ds:schemaRefs>
</ds:datastoreItem>
</file>

<file path=customXml/itemProps2.xml><?xml version="1.0" encoding="utf-8"?>
<ds:datastoreItem xmlns:ds="http://schemas.openxmlformats.org/officeDocument/2006/customXml" ds:itemID="{4AB6A77E-0DE2-4B7F-9783-8F7B1132D4D9}">
  <ds:schemaRefs>
    <ds:schemaRef ds:uri="ca82dde9-3436-4d3d-bddd-d31447390034"/>
    <ds:schemaRef ds:uri="http://purl.org/dc/elements/1.1/"/>
    <ds:schemaRef ds:uri="http://schemas.microsoft.com/office/2006/metadata/properties"/>
    <ds:schemaRef ds:uri="c94570b9-8831-43f2-b70c-0cad48a8c3b0"/>
    <ds:schemaRef ds:uri="http://purl.org/dc/terms/"/>
    <ds:schemaRef ds:uri="http://schemas.openxmlformats.org/package/2006/metadata/core-properties"/>
    <ds:schemaRef ds:uri="http://schemas.microsoft.com/office/infopath/2007/PartnerControls"/>
    <ds:schemaRef ds:uri="http://schemas.microsoft.com/office/2006/documentManagement/types"/>
    <ds:schemaRef ds:uri="66f79233-c467-41b3-a389-c101ba401ba7"/>
    <ds:schemaRef ds:uri="http://www.w3.org/XML/1998/namespace"/>
    <ds:schemaRef ds:uri="http://purl.org/dc/dcmitype/"/>
  </ds:schemaRefs>
</ds:datastoreItem>
</file>

<file path=customXml/itemProps3.xml><?xml version="1.0" encoding="utf-8"?>
<ds:datastoreItem xmlns:ds="http://schemas.openxmlformats.org/officeDocument/2006/customXml" ds:itemID="{FC6802B2-8760-4A0F-8573-A53562CA5E20}">
  <ds:schemaRefs>
    <ds:schemaRef ds:uri="Microsoft.SharePoint.Taxonomy.ContentTypeSync"/>
  </ds:schemaRefs>
</ds:datastoreItem>
</file>

<file path=customXml/itemProps4.xml><?xml version="1.0" encoding="utf-8"?>
<ds:datastoreItem xmlns:ds="http://schemas.openxmlformats.org/officeDocument/2006/customXml" ds:itemID="{742C3618-0149-4C2F-BFBA-B1C1AD287F67}">
  <ds:schemaRefs>
    <ds:schemaRef ds:uri="http://www.oecd.org/one.check/2016/logo"/>
  </ds:schemaRefs>
</ds:datastoreItem>
</file>

<file path=customXml/itemProps5.xml><?xml version="1.0" encoding="utf-8"?>
<ds:datastoreItem xmlns:ds="http://schemas.openxmlformats.org/officeDocument/2006/customXml" ds:itemID="{C292C34A-71D6-4B2F-A869-46A6D6BA2EFC}">
  <ds:schemaRefs>
    <ds:schemaRef ds:uri="http://www.w3.org/2001/XMLSchema"/>
  </ds:schemaRefs>
</ds:datastoreItem>
</file>

<file path=customXml/itemProps6.xml><?xml version="1.0" encoding="utf-8"?>
<ds:datastoreItem xmlns:ds="http://schemas.openxmlformats.org/officeDocument/2006/customXml" ds:itemID="{AB100E61-08BF-4B2E-B9E8-D7981150B600}">
  <ds:schemaRefs>
    <ds:schemaRef ds:uri="http://www.oecd.org/one.check/2016/help"/>
  </ds:schemaRefs>
</ds:datastoreItem>
</file>

<file path=customXml/itemProps7.xml><?xml version="1.0" encoding="utf-8"?>
<ds:datastoreItem xmlns:ds="http://schemas.openxmlformats.org/officeDocument/2006/customXml" ds:itemID="{BD7399D4-0C4C-4B3A-9CAE-3C60970C9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4570b9-8831-43f2-b70c-0cad48a8c3b0"/>
    <ds:schemaRef ds:uri="ca82dde9-3436-4d3d-bddd-d31447390034"/>
    <ds:schemaRef ds:uri="66f79233-c467-41b3-a389-c101ba401b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607DD9FB-E61C-486A-B46C-08D98015B2C2}">
  <ds:schemaRefs>
    <ds:schemaRef ds:uri="http://www.oecd.org/one.check/2016/validation/messages"/>
  </ds:schemaRefs>
</ds:datastoreItem>
</file>

<file path=customXml/itemProps9.xml><?xml version="1.0" encoding="utf-8"?>
<ds:datastoreItem xmlns:ds="http://schemas.openxmlformats.org/officeDocument/2006/customXml" ds:itemID="{9242E1FA-E11D-45A1-974A-391851B1D2C2}">
  <ds:schemaRefs>
    <ds:schemaRef ds:uri="http://www.oecd.org/eshare/projectsentre/CtFieldPriority/"/>
    <ds:schemaRef ds:uri="http://schemas.microsoft.com/2003/10/Serialization/Arrays"/>
  </ds:schemaRefs>
</ds:datastoreItem>
</file>

<file path=customXml/itemProps10.xml><?xml version="1.0" encoding="utf-8"?>
<ds:datastoreItem xmlns:ds="http://schemas.openxmlformats.org/officeDocument/2006/customXml" ds:itemID="{06B1E148-84F9-491F-B1A8-1A23D9A992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ONE Author.dotx</Template>
  <TotalTime>0</TotalTime>
  <Pages>55</Pages>
  <Words>23250</Words>
  <Characters>135783</Characters>
  <Application>Microsoft Office Word</Application>
  <DocSecurity>0</DocSecurity>
  <Lines>1967</Lines>
  <Paragraphs>441</Paragraphs>
  <ScaleCrop>false</ScaleCrop>
  <HeadingPairs>
    <vt:vector size="2" baseType="variant">
      <vt:variant>
        <vt:lpstr>Title</vt:lpstr>
      </vt:variant>
      <vt:variant>
        <vt:i4>1</vt:i4>
      </vt:variant>
    </vt:vector>
  </HeadingPairs>
  <TitlesOfParts>
    <vt:vector size="1" baseType="lpstr">
      <vt:lpstr>RBA GUIDANCE FOR LEGAL PROFESSIONALS, ACCOUNTANTS AND TCSP – DRAFT GUIDANCE</vt:lpstr>
    </vt:vector>
  </TitlesOfParts>
  <Company>OECD</Company>
  <LinksUpToDate>false</LinksUpToDate>
  <CharactersWithSpaces>158592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RBA GUIDANCE FOR LEGAL PROFESSIONALS, ACCOUNTANTS AND TCSP – DRAFT GUIDANCE</dc:title>
  <dc:subject/>
  <dc:creator>LAU Natalie</dc:creator>
  <cp:keywords>FATF/PDG(2018)23/REV2</cp:keywords>
  <dc:description/>
  <cp:lastModifiedBy>O'HARE-D'ARMAGNAC Clare, DAF/FATF</cp:lastModifiedBy>
  <cp:revision>2</cp:revision>
  <cp:lastPrinted>2019-02-01T14:34:00Z</cp:lastPrinted>
  <dcterms:created xsi:type="dcterms:W3CDTF">2019-02-25T14:25:00Z</dcterms:created>
  <dcterms:modified xsi:type="dcterms:W3CDTF">2019-02-25T14:25:00Z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CDTemplateName">
    <vt:lpwstr>ONE Author.dotx</vt:lpwstr>
  </property>
  <property fmtid="{D5CDD505-2E9C-101B-9397-08002B2CF9AE}" pid="3" name="OECDTemplateLocation">
    <vt:lpwstr>\\main.oecd.org\winapps\Office2010\Workgroup Templates</vt:lpwstr>
  </property>
  <property fmtid="{D5CDD505-2E9C-101B-9397-08002B2CF9AE}" pid="4" name="OECDDocumentValidationErrors">
    <vt:lpwstr>0</vt:lpwstr>
  </property>
  <property fmtid="{D5CDD505-2E9C-101B-9397-08002B2CF9AE}" pid="5" name="OECDDocumentValidationWarnings">
    <vt:lpwstr>1</vt:lpwstr>
  </property>
  <property fmtid="{D5CDD505-2E9C-101B-9397-08002B2CF9AE}" pid="6" name="OECDDocumentValidationWordCount">
    <vt:lpwstr>101598</vt:lpwstr>
  </property>
  <property fmtid="{D5CDD505-2E9C-101B-9397-08002B2CF9AE}" pid="7" name="OECDDocumentValidationdate">
    <vt:lpwstr>01/02/2019 15:34:20</vt:lpwstr>
  </property>
  <property fmtid="{D5CDD505-2E9C-101B-9397-08002B2CF9AE}" pid="8" name="OECDDocumentCote">
    <vt:lpwstr>FATF/PDG(2018)23/REV2</vt:lpwstr>
  </property>
  <property fmtid="{D5CDD505-2E9C-101B-9397-08002B2CF9AE}" pid="9" name="OECDDocumentDirectorate">
    <vt:lpwstr/>
  </property>
  <property fmtid="{D5CDD505-2E9C-101B-9397-08002B2CF9AE}" pid="10" name="OECDDocumentCommittee">
    <vt:lpwstr/>
  </property>
  <property fmtid="{D5CDD505-2E9C-101B-9397-08002B2CF9AE}" pid="11" name="OECDDocumentWorkingParty">
    <vt:lpwstr>Policy Development Group</vt:lpwstr>
  </property>
  <property fmtid="{D5CDD505-2E9C-101B-9397-08002B2CF9AE}" pid="12" name="OECDDocumentClassification">
    <vt:lpwstr>For Official Use</vt:lpwstr>
  </property>
  <property fmtid="{D5CDD505-2E9C-101B-9397-08002B2CF9AE}" pid="13" name="OECDDocumentDocumentAbstract">
    <vt:lpwstr>Issue: This paper contains the revised drafts of the risk-based approach Guidance for legal professionals, accountants and trust and company service providers (TCSP). _x000d_Action: The Guidance is for approval for public consultation._x000d__x000d_FATF-XXX_x000d_Please bring th</vt:lpwstr>
  </property>
  <property fmtid="{D5CDD505-2E9C-101B-9397-08002B2CF9AE}" pid="14" name="OECDDocumentContactInfo">
    <vt:lpwstr>Tom NEYLAN, Tel.: +(33-1) 45 24 98 53, Tom.NEYLAN@fatf-gafi.org_x000d_Ashish KUMAR, Tel.: +(33-1)  85 55 60 02, Ashish.KUMAR@fatf-gafi.org</vt:lpwstr>
  </property>
  <property fmtid="{D5CDD505-2E9C-101B-9397-08002B2CF9AE}" pid="15" name="OECDDocumentDocumentLanguage">
    <vt:lpwstr>English</vt:lpwstr>
  </property>
  <property fmtid="{D5CDD505-2E9C-101B-9397-08002B2CF9AE}" pid="16" name="OECDDocumentOriginalLanguage">
    <vt:lpwstr>English</vt:lpwstr>
  </property>
  <property fmtid="{D5CDD505-2E9C-101B-9397-08002B2CF9AE}" pid="17" name="OECDDocumentId">
    <vt:lpwstr>JTXp7EA3Wk2nQ3xg58Zb_A</vt:lpwstr>
  </property>
  <property fmtid="{D5CDD505-2E9C-101B-9397-08002B2CF9AE}" pid="18" name="ContentTypeId">
    <vt:lpwstr>0x0101008B4DD370EC31429186F3AD49F0D3098F00D44DBCB9EB4F45278CB5C9765BE5299500A4858B360C6A491AA753F8BCA47AA91000DF758F8F0D715C4CA37F4DE88FE9F129</vt:lpwstr>
  </property>
  <property fmtid="{D5CDD505-2E9C-101B-9397-08002B2CF9AE}" pid="19" name="OECDDocumentSubmissionDate">
    <vt:lpwstr>2019-02-01</vt:lpwstr>
  </property>
  <property fmtid="{D5CDD505-2E9C-101B-9397-08002B2CF9AE}" pid="20" name="OECDDocumentSubmissionAuthor">
    <vt:lpwstr>KUDELOVA - ROHART Marianna, DAF/FATF</vt:lpwstr>
  </property>
  <property fmtid="{D5CDD505-2E9C-101B-9397-08002B2CF9AE}" pid="21" name="OECDDocumentJobTicket">
    <vt:lpwstr>JT03442459</vt:lpwstr>
  </property>
  <property fmtid="{D5CDD505-2E9C-101B-9397-08002B2CF9AE}" pid="22" name="OECDDocumentHasBeenSubmitted">
    <vt:lpwstr>True</vt:lpwstr>
  </property>
  <property fmtid="{D5CDD505-2E9C-101B-9397-08002B2CF9AE}" pid="23" name="OECDDocumentPreviousJobTicket">
    <vt:lpwstr/>
  </property>
  <property fmtid="{D5CDD505-2E9C-101B-9397-08002B2CF9AE}" pid="24" name="OECDDocumentDateOfReplacedDocument">
    <vt:lpwstr/>
  </property>
  <property fmtid="{D5CDD505-2E9C-101B-9397-08002B2CF9AE}" pid="25" name="Session">
    <vt:lpwstr>PDG Session</vt:lpwstr>
  </property>
  <property fmtid="{D5CDD505-2E9C-101B-9397-08002B2CF9AE}" pid="26" name="Security0">
    <vt:lpwstr>For Official Use</vt:lpwstr>
  </property>
  <property fmtid="{D5CDD505-2E9C-101B-9397-08002B2CF9AE}" pid="27" name="Nb copies">
    <vt:lpwstr>N/A</vt:lpwstr>
  </property>
  <property fmtid="{D5CDD505-2E9C-101B-9397-08002B2CF9AE}" pid="28" name="Lookup Type of Activity">
    <vt:lpwstr>PDG</vt:lpwstr>
  </property>
  <property fmtid="{D5CDD505-2E9C-101B-9397-08002B2CF9AE}" pid="29" name="Title 2">
    <vt:lpwstr>RBA Guidance for lawyers, accountants and TCSP- Draft Guidance</vt:lpwstr>
  </property>
  <property fmtid="{D5CDD505-2E9C-101B-9397-08002B2CF9AE}" pid="30" name="Cote">
    <vt:lpwstr>FATF/PDG(2018)23</vt:lpwstr>
  </property>
  <property fmtid="{D5CDD505-2E9C-101B-9397-08002B2CF9AE}" pid="31" name="Meeting">
    <vt:lpwstr>73</vt:lpwstr>
  </property>
  <property fmtid="{D5CDD505-2E9C-101B-9397-08002B2CF9AE}" pid="32" name="Plenary">
    <vt:lpwstr>01 Draft (Administrators' area)</vt:lpwstr>
  </property>
  <property fmtid="{D5CDD505-2E9C-101B-9397-08002B2CF9AE}" pid="33" name="Submitted FATFnet">
    <vt:lpwstr>false</vt:lpwstr>
  </property>
  <property fmtid="{D5CDD505-2E9C-101B-9397-08002B2CF9AE}" pid="34" name="Distrib. to">
    <vt:lpwstr>All delegations</vt:lpwstr>
  </property>
  <property fmtid="{D5CDD505-2E9C-101B-9397-08002B2CF9AE}" pid="35" name="Contact">
    <vt:lpwstr>A. KUMAR</vt:lpwstr>
  </property>
  <property fmtid="{D5CDD505-2E9C-101B-9397-08002B2CF9AE}" pid="36" name="OECDLastTypoCheck">
    <vt:lpwstr>23/11/2018 12:42:29</vt:lpwstr>
  </property>
  <property fmtid="{D5CDD505-2E9C-101B-9397-08002B2CF9AE}" pid="37" name="IsPrintRequired">
    <vt:lpwstr>False</vt:lpwstr>
  </property>
  <property fmtid="{D5CDD505-2E9C-101B-9397-08002B2CF9AE}" pid="38" name="OECDHorizontalProjects">
    <vt:lpwstr/>
  </property>
  <property fmtid="{D5CDD505-2E9C-101B-9397-08002B2CF9AE}" pid="39" name="OECDProjectOwnerStructure">
    <vt:lpwstr>123;#DAF/FATF|2c63851d-6781-4cb0-9303-b931e9475314</vt:lpwstr>
  </property>
  <property fmtid="{D5CDD505-2E9C-101B-9397-08002B2CF9AE}" pid="40" name="k2806728bead46ffa233105bbad93c87">
    <vt:lpwstr/>
  </property>
  <property fmtid="{D5CDD505-2E9C-101B-9397-08002B2CF9AE}" pid="41" name="OECDTopic">
    <vt:lpwstr/>
  </property>
  <property fmtid="{D5CDD505-2E9C-101B-9397-08002B2CF9AE}" pid="42" name="OECDCommittee">
    <vt:lpwstr/>
  </property>
  <property fmtid="{D5CDD505-2E9C-101B-9397-08002B2CF9AE}" pid="43" name="OECDPWB">
    <vt:lpwstr/>
  </property>
  <property fmtid="{D5CDD505-2E9C-101B-9397-08002B2CF9AE}" pid="44" name="OECDKeywords">
    <vt:lpwstr>445;#RBA|a3cfcf26-ed2f-4c8e-b520-89edd31bff7f</vt:lpwstr>
  </property>
  <property fmtid="{D5CDD505-2E9C-101B-9397-08002B2CF9AE}" pid="45" name="OECDOrganisation">
    <vt:lpwstr/>
  </property>
  <property fmtid="{D5CDD505-2E9C-101B-9397-08002B2CF9AE}" pid="46" name="OECDCountry">
    <vt:lpwstr/>
  </property>
</Properties>
</file>